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A4BE9">
      <w:pPr>
        <w:spacing w:line="360" w:lineRule="auto"/>
        <w:rPr>
          <w:rFonts w:ascii="宋体" w:hAnsi="宋体" w:eastAsia="宋体"/>
          <w:b/>
          <w:color w:val="000000" w:themeColor="text1"/>
          <w:szCs w:val="32"/>
          <w14:textFill>
            <w14:solidFill>
              <w14:schemeClr w14:val="tx1"/>
            </w14:solidFill>
          </w14:textFill>
        </w:rPr>
      </w:pPr>
    </w:p>
    <w:p w14:paraId="5A5A22FD">
      <w:pPr>
        <w:spacing w:line="360" w:lineRule="auto"/>
        <w:rPr>
          <w:rFonts w:ascii="宋体" w:hAnsi="宋体" w:eastAsia="宋体"/>
          <w:b/>
          <w:color w:val="000000" w:themeColor="text1"/>
          <w:szCs w:val="32"/>
          <w14:textFill>
            <w14:solidFill>
              <w14:schemeClr w14:val="tx1"/>
            </w14:solidFill>
          </w14:textFill>
        </w:rPr>
      </w:pPr>
    </w:p>
    <w:p w14:paraId="59AD055E">
      <w:pPr>
        <w:spacing w:line="360" w:lineRule="auto"/>
        <w:rPr>
          <w:rFonts w:ascii="宋体" w:hAnsi="宋体" w:eastAsia="宋体"/>
          <w:b/>
          <w:color w:val="000000" w:themeColor="text1"/>
          <w:szCs w:val="32"/>
          <w14:textFill>
            <w14:solidFill>
              <w14:schemeClr w14:val="tx1"/>
            </w14:solidFill>
          </w14:textFill>
        </w:rPr>
      </w:pPr>
    </w:p>
    <w:p w14:paraId="42948236">
      <w:pPr>
        <w:spacing w:line="360" w:lineRule="auto"/>
        <w:rPr>
          <w:rFonts w:ascii="宋体" w:hAnsi="宋体" w:eastAsia="宋体"/>
          <w:b/>
          <w:color w:val="000000" w:themeColor="text1"/>
          <w:szCs w:val="32"/>
          <w14:textFill>
            <w14:solidFill>
              <w14:schemeClr w14:val="tx1"/>
            </w14:solidFill>
          </w14:textFill>
        </w:rPr>
      </w:pPr>
    </w:p>
    <w:p w14:paraId="3EDA43B9">
      <w:pPr>
        <w:spacing w:line="360" w:lineRule="auto"/>
        <w:ind w:left="-798" w:leftChars="-266" w:right="-717" w:rightChars="-239" w:firstLine="3"/>
        <w:jc w:val="center"/>
        <w:rPr>
          <w:rFonts w:ascii="方正仿宋_GBK" w:hAnsi="宋体"/>
          <w:b/>
          <w:color w:val="000000" w:themeColor="text1"/>
          <w:sz w:val="72"/>
          <w:szCs w:val="72"/>
          <w14:textFill>
            <w14:solidFill>
              <w14:schemeClr w14:val="tx1"/>
            </w14:solidFill>
          </w14:textFill>
        </w:rPr>
      </w:pPr>
      <w:bookmarkStart w:id="0" w:name="StdName"/>
      <w:r>
        <w:rPr>
          <w:rFonts w:hint="eastAsia" w:ascii="方正仿宋_GBK" w:hAnsi="宋体"/>
          <w:b/>
          <w:color w:val="000000" w:themeColor="text1"/>
          <w:sz w:val="52"/>
          <w:szCs w:val="52"/>
          <w14:textFill>
            <w14:solidFill>
              <w14:schemeClr w14:val="tx1"/>
            </w14:solidFill>
          </w14:textFill>
        </w:rPr>
        <w:t>《</w:t>
      </w:r>
      <w:bookmarkEnd w:id="0"/>
      <w:r>
        <w:rPr>
          <w:rFonts w:hint="eastAsia" w:ascii="方正仿宋_GBK" w:hAnsi="宋体"/>
          <w:b/>
          <w:color w:val="000000" w:themeColor="text1"/>
          <w:sz w:val="52"/>
          <w:szCs w:val="52"/>
          <w14:textFill>
            <w14:solidFill>
              <w14:schemeClr w14:val="tx1"/>
            </w14:solidFill>
          </w14:textFill>
        </w:rPr>
        <w:t>特种设备双重预防数据归集技术规范》标准编制说明</w:t>
      </w:r>
    </w:p>
    <w:p w14:paraId="5F3572B3">
      <w:pPr>
        <w:spacing w:line="360" w:lineRule="auto"/>
        <w:rPr>
          <w:rFonts w:ascii="宋体" w:hAnsi="宋体" w:eastAsia="宋体"/>
          <w:b/>
          <w:color w:val="000000" w:themeColor="text1"/>
          <w:szCs w:val="32"/>
          <w14:textFill>
            <w14:solidFill>
              <w14:schemeClr w14:val="tx1"/>
            </w14:solidFill>
          </w14:textFill>
        </w:rPr>
      </w:pPr>
    </w:p>
    <w:p w14:paraId="0F48273A">
      <w:pPr>
        <w:spacing w:line="360" w:lineRule="auto"/>
        <w:rPr>
          <w:rFonts w:ascii="宋体" w:hAnsi="宋体" w:eastAsia="宋体"/>
          <w:b/>
          <w:color w:val="000000" w:themeColor="text1"/>
          <w:szCs w:val="32"/>
          <w14:textFill>
            <w14:solidFill>
              <w14:schemeClr w14:val="tx1"/>
            </w14:solidFill>
          </w14:textFill>
        </w:rPr>
      </w:pPr>
    </w:p>
    <w:p w14:paraId="78246E3B">
      <w:pPr>
        <w:spacing w:line="360" w:lineRule="auto"/>
        <w:rPr>
          <w:rFonts w:ascii="宋体" w:hAnsi="宋体" w:eastAsia="宋体"/>
          <w:b/>
          <w:color w:val="000000" w:themeColor="text1"/>
          <w:szCs w:val="32"/>
          <w14:textFill>
            <w14:solidFill>
              <w14:schemeClr w14:val="tx1"/>
            </w14:solidFill>
          </w14:textFill>
        </w:rPr>
      </w:pPr>
    </w:p>
    <w:p w14:paraId="30D11985">
      <w:pPr>
        <w:spacing w:line="360" w:lineRule="auto"/>
        <w:rPr>
          <w:rFonts w:ascii="宋体" w:hAnsi="宋体" w:eastAsia="宋体"/>
          <w:b/>
          <w:color w:val="000000" w:themeColor="text1"/>
          <w:szCs w:val="32"/>
          <w14:textFill>
            <w14:solidFill>
              <w14:schemeClr w14:val="tx1"/>
            </w14:solidFill>
          </w14:textFill>
        </w:rPr>
      </w:pPr>
    </w:p>
    <w:p w14:paraId="52D2ECE8">
      <w:pPr>
        <w:spacing w:line="360" w:lineRule="auto"/>
        <w:rPr>
          <w:rFonts w:ascii="宋体" w:hAnsi="宋体" w:eastAsia="宋体"/>
          <w:b/>
          <w:color w:val="000000" w:themeColor="text1"/>
          <w:szCs w:val="32"/>
          <w14:textFill>
            <w14:solidFill>
              <w14:schemeClr w14:val="tx1"/>
            </w14:solidFill>
          </w14:textFill>
        </w:rPr>
      </w:pPr>
    </w:p>
    <w:p w14:paraId="254164BB">
      <w:pPr>
        <w:spacing w:line="360" w:lineRule="auto"/>
        <w:rPr>
          <w:rFonts w:ascii="宋体" w:hAnsi="宋体" w:eastAsia="宋体"/>
          <w:b/>
          <w:color w:val="000000" w:themeColor="text1"/>
          <w:szCs w:val="32"/>
          <w14:textFill>
            <w14:solidFill>
              <w14:schemeClr w14:val="tx1"/>
            </w14:solidFill>
          </w14:textFill>
        </w:rPr>
      </w:pPr>
    </w:p>
    <w:p w14:paraId="5A26A2F8">
      <w:pPr>
        <w:spacing w:line="360" w:lineRule="auto"/>
        <w:rPr>
          <w:rFonts w:ascii="宋体" w:hAnsi="宋体" w:eastAsia="宋体"/>
          <w:b/>
          <w:color w:val="000000" w:themeColor="text1"/>
          <w:szCs w:val="32"/>
          <w14:textFill>
            <w14:solidFill>
              <w14:schemeClr w14:val="tx1"/>
            </w14:solidFill>
          </w14:textFill>
        </w:rPr>
      </w:pPr>
    </w:p>
    <w:p w14:paraId="539B6638">
      <w:pPr>
        <w:spacing w:line="360" w:lineRule="auto"/>
        <w:rPr>
          <w:rFonts w:ascii="宋体" w:hAnsi="宋体" w:eastAsia="宋体"/>
          <w:b/>
          <w:color w:val="000000" w:themeColor="text1"/>
          <w:szCs w:val="32"/>
          <w14:textFill>
            <w14:solidFill>
              <w14:schemeClr w14:val="tx1"/>
            </w14:solidFill>
          </w14:textFill>
        </w:rPr>
      </w:pPr>
    </w:p>
    <w:p w14:paraId="0BCE2BF0">
      <w:pPr>
        <w:spacing w:line="360" w:lineRule="auto"/>
        <w:rPr>
          <w:rFonts w:ascii="宋体" w:hAnsi="宋体" w:eastAsia="宋体"/>
          <w:b/>
          <w:color w:val="000000" w:themeColor="text1"/>
          <w:szCs w:val="32"/>
          <w14:textFill>
            <w14:solidFill>
              <w14:schemeClr w14:val="tx1"/>
            </w14:solidFill>
          </w14:textFill>
        </w:rPr>
      </w:pPr>
    </w:p>
    <w:p w14:paraId="40C530F9">
      <w:pPr>
        <w:spacing w:line="360" w:lineRule="auto"/>
        <w:jc w:val="center"/>
        <w:rPr>
          <w:rFonts w:ascii="宋体" w:hAnsi="宋体" w:eastAsia="宋体"/>
          <w:b/>
          <w:color w:val="000000" w:themeColor="text1"/>
          <w:szCs w:val="32"/>
          <w14:textFill>
            <w14:solidFill>
              <w14:schemeClr w14:val="tx1"/>
            </w14:solidFill>
          </w14:textFill>
        </w:rPr>
      </w:pPr>
    </w:p>
    <w:p w14:paraId="339031C2">
      <w:pPr>
        <w:spacing w:line="360" w:lineRule="auto"/>
        <w:jc w:val="center"/>
        <w:rPr>
          <w:rFonts w:ascii="宋体" w:hAnsi="宋体" w:eastAsia="宋体"/>
          <w:b/>
          <w:color w:val="000000" w:themeColor="text1"/>
          <w:szCs w:val="32"/>
          <w14:textFill>
            <w14:solidFill>
              <w14:schemeClr w14:val="tx1"/>
            </w14:solidFill>
          </w14:textFill>
        </w:rPr>
      </w:pPr>
      <w:r>
        <w:rPr>
          <w:rFonts w:hint="eastAsia" w:ascii="宋体" w:hAnsi="宋体" w:eastAsia="宋体"/>
          <w:b/>
          <w:color w:val="000000" w:themeColor="text1"/>
          <w:szCs w:val="32"/>
          <w14:textFill>
            <w14:solidFill>
              <w14:schemeClr w14:val="tx1"/>
            </w14:solidFill>
          </w14:textFill>
        </w:rPr>
        <w:t>标准起草组</w:t>
      </w:r>
    </w:p>
    <w:p w14:paraId="298002C2">
      <w:pPr>
        <w:spacing w:line="360" w:lineRule="auto"/>
        <w:jc w:val="center"/>
        <w:rPr>
          <w:rFonts w:ascii="宋体" w:hAnsi="宋体" w:eastAsia="宋体"/>
          <w:b/>
          <w:color w:val="000000" w:themeColor="text1"/>
          <w:szCs w:val="32"/>
          <w14:textFill>
            <w14:solidFill>
              <w14:schemeClr w14:val="tx1"/>
            </w14:solidFill>
          </w14:textFill>
        </w:rPr>
      </w:pPr>
      <w:r>
        <w:rPr>
          <w:rFonts w:hint="eastAsia" w:ascii="宋体" w:hAnsi="宋体" w:eastAsia="宋体"/>
          <w:b/>
          <w:color w:val="000000" w:themeColor="text1"/>
          <w:szCs w:val="32"/>
          <w14:textFill>
            <w14:solidFill>
              <w14:schemeClr w14:val="tx1"/>
            </w14:solidFill>
          </w14:textFill>
        </w:rPr>
        <w:t>202</w:t>
      </w:r>
      <w:r>
        <w:rPr>
          <w:rFonts w:hint="eastAsia" w:ascii="宋体" w:hAnsi="宋体" w:eastAsia="宋体"/>
          <w:b/>
          <w:color w:val="000000" w:themeColor="text1"/>
          <w:szCs w:val="32"/>
          <w:lang w:val="en-US" w:eastAsia="zh-CN"/>
          <w14:textFill>
            <w14:solidFill>
              <w14:schemeClr w14:val="tx1"/>
            </w14:solidFill>
          </w14:textFill>
        </w:rPr>
        <w:t>4</w:t>
      </w:r>
      <w:r>
        <w:rPr>
          <w:rFonts w:hint="eastAsia" w:ascii="宋体" w:hAnsi="宋体" w:eastAsia="宋体"/>
          <w:b/>
          <w:color w:val="000000" w:themeColor="text1"/>
          <w:szCs w:val="32"/>
          <w14:textFill>
            <w14:solidFill>
              <w14:schemeClr w14:val="tx1"/>
            </w14:solidFill>
          </w14:textFill>
        </w:rPr>
        <w:t>年</w:t>
      </w:r>
      <w:r>
        <w:rPr>
          <w:rFonts w:hint="eastAsia" w:ascii="宋体" w:hAnsi="宋体" w:eastAsia="宋体"/>
          <w:b/>
          <w:color w:val="000000" w:themeColor="text1"/>
          <w:szCs w:val="32"/>
          <w:lang w:val="en-US" w:eastAsia="zh-CN"/>
          <w14:textFill>
            <w14:solidFill>
              <w14:schemeClr w14:val="tx1"/>
            </w14:solidFill>
          </w14:textFill>
        </w:rPr>
        <w:t>07</w:t>
      </w:r>
      <w:r>
        <w:rPr>
          <w:rFonts w:hint="eastAsia" w:ascii="宋体" w:hAnsi="宋体" w:eastAsia="宋体"/>
          <w:b/>
          <w:color w:val="000000" w:themeColor="text1"/>
          <w:szCs w:val="32"/>
          <w14:textFill>
            <w14:solidFill>
              <w14:schemeClr w14:val="tx1"/>
            </w14:solidFill>
          </w14:textFill>
        </w:rPr>
        <w:t>月</w:t>
      </w:r>
    </w:p>
    <w:p w14:paraId="65A1379C">
      <w:pPr>
        <w:widowControl/>
        <w:jc w:val="left"/>
        <w:rPr>
          <w:rFonts w:ascii="宋体" w:hAnsi="宋体" w:eastAsia="宋体"/>
          <w:b/>
          <w:color w:val="000000" w:themeColor="text1"/>
          <w:szCs w:val="32"/>
          <w14:textFill>
            <w14:solidFill>
              <w14:schemeClr w14:val="tx1"/>
            </w14:solidFill>
          </w14:textFill>
        </w:rPr>
      </w:pPr>
      <w:r>
        <w:rPr>
          <w:rFonts w:ascii="宋体" w:hAnsi="宋体" w:eastAsia="宋体"/>
          <w:b/>
          <w:color w:val="000000" w:themeColor="text1"/>
          <w:szCs w:val="32"/>
          <w14:textFill>
            <w14:solidFill>
              <w14:schemeClr w14:val="tx1"/>
            </w14:solidFill>
          </w14:textFill>
        </w:rPr>
        <w:br w:type="page"/>
      </w:r>
    </w:p>
    <w:p w14:paraId="708AD3DE">
      <w:pPr>
        <w:spacing w:line="360" w:lineRule="auto"/>
        <w:ind w:leftChars="-44" w:hanging="159" w:hangingChars="44"/>
        <w:jc w:val="center"/>
        <w:rPr>
          <w:rFonts w:hint="eastAsia" w:ascii="方正小标宋简体" w:hAnsi="方正小标宋简体" w:eastAsia="方正小标宋简体" w:cs="方正小标宋简体"/>
          <w:b/>
          <w:color w:val="000000" w:themeColor="text1"/>
          <w:sz w:val="36"/>
          <w:szCs w:val="40"/>
          <w14:textFill>
            <w14:solidFill>
              <w14:schemeClr w14:val="tx1"/>
            </w14:solidFill>
          </w14:textFill>
        </w:rPr>
      </w:pPr>
      <w:r>
        <w:rPr>
          <w:rFonts w:hint="eastAsia" w:ascii="方正小标宋简体" w:hAnsi="方正小标宋简体" w:eastAsia="方正小标宋简体" w:cs="方正小标宋简体"/>
          <w:b/>
          <w:color w:val="000000" w:themeColor="text1"/>
          <w:sz w:val="36"/>
          <w:szCs w:val="40"/>
          <w:lang w:val="en-US" w:eastAsia="zh-CN"/>
          <w14:textFill>
            <w14:solidFill>
              <w14:schemeClr w14:val="tx1"/>
            </w14:solidFill>
          </w14:textFill>
        </w:rPr>
        <w:t>江苏省地方标准</w:t>
      </w:r>
      <w:r>
        <w:rPr>
          <w:rFonts w:hint="eastAsia" w:ascii="方正小标宋简体" w:hAnsi="方正小标宋简体" w:eastAsia="方正小标宋简体" w:cs="方正小标宋简体"/>
          <w:b/>
          <w:color w:val="000000" w:themeColor="text1"/>
          <w:sz w:val="36"/>
          <w:szCs w:val="40"/>
          <w14:textFill>
            <w14:solidFill>
              <w14:schemeClr w14:val="tx1"/>
            </w14:solidFill>
          </w14:textFill>
        </w:rPr>
        <w:t>《特种设备双重预防数据归集技术规范》</w:t>
      </w:r>
      <w:r>
        <w:rPr>
          <w:rFonts w:hint="eastAsia" w:ascii="方正小标宋简体" w:hAnsi="方正小标宋简体" w:eastAsia="方正小标宋简体" w:cs="方正小标宋简体"/>
          <w:b/>
          <w:color w:val="000000" w:themeColor="text1"/>
          <w:sz w:val="36"/>
          <w:szCs w:val="40"/>
          <w:lang w:eastAsia="zh-CN"/>
          <w14:textFill>
            <w14:solidFill>
              <w14:schemeClr w14:val="tx1"/>
            </w14:solidFill>
          </w14:textFill>
        </w:rPr>
        <w:t>（</w:t>
      </w:r>
      <w:r>
        <w:rPr>
          <w:rFonts w:hint="eastAsia" w:ascii="方正小标宋简体" w:hAnsi="方正小标宋简体" w:eastAsia="方正小标宋简体" w:cs="方正小标宋简体"/>
          <w:b/>
          <w:color w:val="000000" w:themeColor="text1"/>
          <w:sz w:val="36"/>
          <w:szCs w:val="40"/>
          <w:lang w:val="en-US" w:eastAsia="zh-CN"/>
          <w14:textFill>
            <w14:solidFill>
              <w14:schemeClr w14:val="tx1"/>
            </w14:solidFill>
          </w14:textFill>
        </w:rPr>
        <w:t>报批稿</w:t>
      </w:r>
      <w:r>
        <w:rPr>
          <w:rFonts w:hint="eastAsia" w:ascii="方正小标宋简体" w:hAnsi="方正小标宋简体" w:eastAsia="方正小标宋简体" w:cs="方正小标宋简体"/>
          <w:b/>
          <w:color w:val="000000" w:themeColor="text1"/>
          <w:sz w:val="36"/>
          <w:szCs w:val="40"/>
          <w:lang w:eastAsia="zh-CN"/>
          <w14:textFill>
            <w14:solidFill>
              <w14:schemeClr w14:val="tx1"/>
            </w14:solidFill>
          </w14:textFill>
        </w:rPr>
        <w:t>）</w:t>
      </w:r>
      <w:r>
        <w:rPr>
          <w:rFonts w:hint="eastAsia" w:ascii="方正小标宋简体" w:hAnsi="方正小标宋简体" w:eastAsia="方正小标宋简体" w:cs="方正小标宋简体"/>
          <w:b/>
          <w:color w:val="000000" w:themeColor="text1"/>
          <w:sz w:val="36"/>
          <w:szCs w:val="40"/>
          <w14:textFill>
            <w14:solidFill>
              <w14:schemeClr w14:val="tx1"/>
            </w14:solidFill>
          </w14:textFill>
        </w:rPr>
        <w:t>编制说明</w:t>
      </w:r>
    </w:p>
    <w:p w14:paraId="529D296B">
      <w:pPr>
        <w:spacing w:line="580" w:lineRule="exact"/>
        <w:ind w:firstLine="602" w:firstLineChars="200"/>
        <w:rPr>
          <w:rFonts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一、目的意义</w:t>
      </w:r>
    </w:p>
    <w:p w14:paraId="4FEB3BA8">
      <w:pPr>
        <w:bidi w:val="0"/>
      </w:pPr>
      <w:r>
        <w:rPr>
          <w:rFonts w:hint="eastAsia"/>
        </w:rPr>
        <w:t>截至 2023 年年底,全省拥有各类特种设备共267.92 万台。其中在用设备233.28 万台、停用设备 34.64 万台。按设备类别分，锅炉2.47万台、压力容器68.41万台、电梯101.34万台、起重机械55.76万台、客运索道17条、大型游乐设施1425台(套)</w:t>
      </w:r>
      <w:r>
        <w:rPr>
          <w:rFonts w:hint="eastAsia"/>
          <w:lang w:eastAsia="zh-CN"/>
        </w:rPr>
        <w:t>、</w:t>
      </w:r>
      <w:r>
        <w:rPr>
          <w:rFonts w:hint="eastAsia"/>
        </w:rPr>
        <w:t>场(厂)内专用机动车辆39.80万辆。另有:气瓶 2963.28 万只、压力管道10.43 万公里。2023年全省注销特种设备19.29万台，注销各类气瓶226.15万只。特种设备数量位居全国第一，十三五期间平均年增长率为8%左右，</w:t>
      </w:r>
      <w:r>
        <w:t>安全监管形势非常严峻</w:t>
      </w:r>
      <w:r>
        <w:rPr>
          <w:rFonts w:hint="eastAsia"/>
        </w:rPr>
        <w:t>。</w:t>
      </w:r>
    </w:p>
    <w:p w14:paraId="02EE8E4B">
      <w:pPr>
        <w:bidi w:val="0"/>
        <w:rPr>
          <w:rFonts w:hint="eastAsia"/>
        </w:rPr>
      </w:pPr>
      <w:r>
        <w:rPr>
          <w:rFonts w:hint="eastAsia"/>
        </w:rPr>
        <w:t>近年来，江苏省市场监管局高度重视双重预防工作，将特种设备双重预防工作纳入全省市场监管“十四五”工作规划，制定了特种设备双重预防工作实施方案，积极推动制定颁布了</w:t>
      </w:r>
      <w:r>
        <w:rPr>
          <w:rFonts w:hint="eastAsia"/>
          <w:lang w:val="en-US" w:eastAsia="zh-CN"/>
        </w:rPr>
        <w:t>5</w:t>
      </w:r>
      <w:r>
        <w:rPr>
          <w:rFonts w:hint="eastAsia"/>
        </w:rPr>
        <w:t>项特种设备双重预防机制地方标准，并委托江苏省特检院在全省特种设备使用单位试点推广双重预防机制建设，督促企业落实安全主体责任，有效遏制重特大事故发生。</w:t>
      </w:r>
    </w:p>
    <w:p w14:paraId="357424E3">
      <w:pPr>
        <w:bidi w:val="0"/>
      </w:pPr>
      <w:r>
        <w:rPr>
          <w:rFonts w:hint="eastAsia"/>
        </w:rPr>
        <w:t>为了便于开展特种设备双重预防机制建设推广工作，江苏省特检院开发出特种设备双重预防</w:t>
      </w:r>
      <w:r>
        <w:rPr>
          <w:rFonts w:hint="eastAsia"/>
          <w:lang w:val="en-US" w:eastAsia="zh-CN"/>
        </w:rPr>
        <w:t>机制</w:t>
      </w:r>
      <w:r>
        <w:rPr>
          <w:rFonts w:hint="eastAsia"/>
        </w:rPr>
        <w:t>信息化云平台，目前已在全省356家特种设备使用单位试点应用，指导帮助企业打造标准化</w:t>
      </w:r>
      <w:r>
        <w:rPr>
          <w:rFonts w:hint="eastAsia"/>
          <w:lang w:val="en-US" w:eastAsia="zh-CN"/>
        </w:rPr>
        <w:t>特种设备</w:t>
      </w:r>
      <w:r>
        <w:rPr>
          <w:rFonts w:hint="eastAsia"/>
        </w:rPr>
        <w:t>安全管理流程，提高双重预防机制建设成效，提升特种设备本质安全水平。在推广过程中，企业在使用特种设备双重预防</w:t>
      </w:r>
      <w:r>
        <w:rPr>
          <w:rFonts w:hint="eastAsia"/>
          <w:lang w:val="en-US" w:eastAsia="zh-CN"/>
        </w:rPr>
        <w:t>机制</w:t>
      </w:r>
      <w:r>
        <w:rPr>
          <w:rFonts w:hint="eastAsia"/>
        </w:rPr>
        <w:t>信息化云平台的同时，还使用应急、住建、文旅等多个部门的双重预防</w:t>
      </w:r>
      <w:r>
        <w:rPr>
          <w:rFonts w:hint="eastAsia"/>
          <w:lang w:val="en-US" w:eastAsia="zh-CN"/>
        </w:rPr>
        <w:t>机制</w:t>
      </w:r>
      <w:r>
        <w:rPr>
          <w:rFonts w:hint="eastAsia"/>
        </w:rPr>
        <w:t>信息化平台，存在数据重复填报、信息不共享、形成多个“数据孤岛”的现象，大大增加了工作人员负担，耗费了大量人力物力。为了打破“数据孤岛”，实现数据共享，本项目提出制定统一的信息化平台数据归集规则，解决平台间数据共享问题，保证企业员工只需在一个平台上填报数据，就可以实现多个平台间的信息共享，在减轻企业负担的同时，畅通多部门信息流，让信息平台充分发挥科学监管、数字监管、信用监管、联合监管的综合效能，真正实现特种设备多元共治的格局。</w:t>
      </w:r>
    </w:p>
    <w:p w14:paraId="7B6AC5C3">
      <w:pPr>
        <w:spacing w:line="580" w:lineRule="exact"/>
        <w:ind w:firstLine="602" w:firstLineChars="200"/>
        <w:rPr>
          <w:rFonts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二、任务来源</w:t>
      </w:r>
    </w:p>
    <w:p w14:paraId="32C39F7C">
      <w:pPr>
        <w:bidi w:val="0"/>
      </w:pPr>
      <w:r>
        <w:rPr>
          <w:rFonts w:hint="eastAsia"/>
        </w:rPr>
        <w:t>为深入贯彻省委、省政府关于安全生产工作的决策部署，落实《江苏省防范遏制重特大事故工作方案》《江苏省安委办关于江苏省防范遏制重特大事故构建双重预防机制实施办法的通知》《江苏省防范遏制特种设备重特大事故构建双重预防机制实施方案的通知》要求，全面构建安全风险分级管控和隐患排查治理双重预防工作机制，坚决防范遏制重特大事故发生。前期江苏省特种设备安全监督检验研究院已完成《特种设备双重预防机制建设规范》、《特种设备风险分级管控工作规范》、《特种设备隐患排查治理工作规范》、《涉危险化学品生产企业特种设备双重预防机制建设实施规范》及《主题游乐园特种设备双重预防机制建设实施规范》等5项地方标准的编制工作，江苏省市场监督管理局开展了相关标准的试点与推广，使用单位在实际应用过程中存在一些难点，为了顺利将双重预防标准推广，切实保障特种设备安全运行，江苏省市场监督管理局特种设备安全监察处委托江苏省特种设备安全监督检验研究院编制相关《特种设备双重预防数据归集技术规范》，为企业开展双重预防工作提供技术支持。</w:t>
      </w:r>
    </w:p>
    <w:p w14:paraId="38B8ABD3">
      <w:pPr>
        <w:bidi w:val="0"/>
      </w:pPr>
      <w:r>
        <w:rPr>
          <w:rFonts w:hint="eastAsia"/>
        </w:rPr>
        <w:t>202</w:t>
      </w:r>
      <w:r>
        <w:rPr>
          <w:rFonts w:hint="eastAsia"/>
          <w:lang w:val="en-US" w:eastAsia="zh-CN"/>
        </w:rPr>
        <w:t>3</w:t>
      </w:r>
      <w:r>
        <w:rPr>
          <w:rFonts w:hint="eastAsia"/>
        </w:rPr>
        <w:t>年</w:t>
      </w:r>
      <w:r>
        <w:rPr>
          <w:rFonts w:hint="eastAsia"/>
          <w:lang w:val="en-US" w:eastAsia="zh-CN"/>
        </w:rPr>
        <w:t>8</w:t>
      </w:r>
      <w:r>
        <w:rPr>
          <w:rFonts w:hint="eastAsia"/>
        </w:rPr>
        <w:t>月</w:t>
      </w:r>
      <w:r>
        <w:rPr>
          <w:rFonts w:hint="eastAsia"/>
          <w:lang w:val="en-US" w:eastAsia="zh-CN"/>
        </w:rPr>
        <w:t>4</w:t>
      </w:r>
      <w:r>
        <w:rPr>
          <w:rFonts w:hint="eastAsia"/>
        </w:rPr>
        <w:t>日，江苏省市场监督管理局印发《省市场监管局关于下达 2023 年度江苏省地方标准项目计划的通知》（苏市监标〔2023〕173 号），下达编制任务，包括《特种设备双重预防数据归集技术规范》地方标准。</w:t>
      </w:r>
    </w:p>
    <w:p w14:paraId="4F273E63">
      <w:pPr>
        <w:bidi w:val="0"/>
      </w:pPr>
      <w:r>
        <w:rPr>
          <w:rFonts w:hint="eastAsia" w:ascii="黑体" w:hAnsi="黑体" w:eastAsia="黑体"/>
          <w:b/>
          <w:color w:val="000000" w:themeColor="text1"/>
          <w:szCs w:val="32"/>
          <w14:textFill>
            <w14:solidFill>
              <w14:schemeClr w14:val="tx1"/>
            </w14:solidFill>
          </w14:textFill>
        </w:rPr>
        <w:t>三、编制过程</w:t>
      </w:r>
    </w:p>
    <w:p w14:paraId="400A62CF">
      <w:pPr>
        <w:bidi w:val="0"/>
        <w:rPr>
          <w:rFonts w:hint="eastAsia"/>
        </w:rPr>
      </w:pPr>
      <w:r>
        <w:rPr>
          <w:rFonts w:hint="eastAsia"/>
        </w:rPr>
        <w:t>标准编制工作分六个阶段：</w:t>
      </w:r>
    </w:p>
    <w:p w14:paraId="2D644867">
      <w:pPr>
        <w:bidi w:val="0"/>
        <w:rPr>
          <w:rFonts w:hint="eastAsia"/>
        </w:rPr>
      </w:pPr>
      <w:r>
        <w:rPr>
          <w:rFonts w:hint="eastAsia"/>
        </w:rPr>
        <w:t>第一阶段：前期预研</w:t>
      </w:r>
    </w:p>
    <w:p w14:paraId="1912A0F5">
      <w:pPr>
        <w:bidi w:val="0"/>
        <w:rPr>
          <w:rFonts w:hint="eastAsia"/>
        </w:rPr>
      </w:pPr>
      <w:r>
        <w:rPr>
          <w:rFonts w:hint="eastAsia"/>
        </w:rPr>
        <w:t>通过对</w:t>
      </w:r>
      <w:r>
        <w:rPr>
          <w:rFonts w:hint="eastAsia"/>
          <w:lang w:val="en-US" w:eastAsia="zh-CN"/>
        </w:rPr>
        <w:t>特种设备</w:t>
      </w:r>
      <w:r>
        <w:rPr>
          <w:rFonts w:hint="eastAsia"/>
        </w:rPr>
        <w:t>使用单位、</w:t>
      </w:r>
      <w:r>
        <w:rPr>
          <w:rFonts w:hint="eastAsia"/>
          <w:lang w:val="en-US" w:eastAsia="zh-CN"/>
        </w:rPr>
        <w:t>特种设备信息化建设</w:t>
      </w:r>
      <w:r>
        <w:rPr>
          <w:rFonts w:hint="eastAsia"/>
        </w:rPr>
        <w:t>单位</w:t>
      </w:r>
      <w:r>
        <w:rPr>
          <w:rFonts w:hint="eastAsia"/>
          <w:lang w:val="en-US" w:eastAsia="zh-CN"/>
        </w:rPr>
        <w:t>进行</w:t>
      </w:r>
      <w:r>
        <w:rPr>
          <w:rFonts w:hint="eastAsia"/>
        </w:rPr>
        <w:t>调研，对</w:t>
      </w:r>
      <w:r>
        <w:rPr>
          <w:rFonts w:hint="eastAsia"/>
          <w:lang w:val="en-US" w:eastAsia="zh-CN"/>
        </w:rPr>
        <w:t>双重预防和数据归集</w:t>
      </w:r>
      <w:r>
        <w:rPr>
          <w:rFonts w:hint="eastAsia"/>
        </w:rPr>
        <w:t>掌握了大量的一手资料，并结合实际</w:t>
      </w:r>
      <w:r>
        <w:rPr>
          <w:rFonts w:hint="eastAsia"/>
          <w:lang w:val="en-US" w:eastAsia="zh-CN"/>
        </w:rPr>
        <w:t>特种设备双重预防推广</w:t>
      </w:r>
      <w:r>
        <w:rPr>
          <w:rFonts w:hint="eastAsia"/>
        </w:rPr>
        <w:t>工作</w:t>
      </w:r>
      <w:r>
        <w:rPr>
          <w:rFonts w:hint="eastAsia"/>
          <w:lang w:val="en-US" w:eastAsia="zh-CN"/>
        </w:rPr>
        <w:t>中的</w:t>
      </w:r>
      <w:r>
        <w:rPr>
          <w:rFonts w:hint="eastAsia"/>
        </w:rPr>
        <w:t>经验，在此基础上确定标准化对象，分析标准化需求，建立标准基本框架、确定标准主要技术内容，编制了地方标准草案。</w:t>
      </w:r>
    </w:p>
    <w:p w14:paraId="18FF5035">
      <w:pPr>
        <w:bidi w:val="0"/>
        <w:rPr>
          <w:rFonts w:hint="eastAsia"/>
        </w:rPr>
      </w:pPr>
      <w:r>
        <w:rPr>
          <w:rFonts w:hint="eastAsia"/>
        </w:rPr>
        <w:t>第二阶段：立项阶段</w:t>
      </w:r>
    </w:p>
    <w:p w14:paraId="7EDA9D0E">
      <w:pPr>
        <w:bidi w:val="0"/>
        <w:rPr>
          <w:rFonts w:hint="eastAsia"/>
        </w:rPr>
      </w:pPr>
      <w:r>
        <w:rPr>
          <w:rFonts w:hint="eastAsia"/>
        </w:rPr>
        <w:t>2023年</w:t>
      </w:r>
      <w:r>
        <w:rPr>
          <w:rFonts w:hint="eastAsia"/>
          <w:lang w:val="en-US" w:eastAsia="zh-CN"/>
        </w:rPr>
        <w:t>8</w:t>
      </w:r>
      <w:r>
        <w:rPr>
          <w:rFonts w:hint="eastAsia"/>
        </w:rPr>
        <w:t>月，本标准通过江苏省市场监督管理局立项。</w:t>
      </w:r>
    </w:p>
    <w:p w14:paraId="34876A03">
      <w:pPr>
        <w:bidi w:val="0"/>
        <w:rPr>
          <w:rFonts w:hint="eastAsia"/>
        </w:rPr>
      </w:pPr>
      <w:r>
        <w:rPr>
          <w:rFonts w:hint="eastAsia"/>
        </w:rPr>
        <w:t>第三阶段：标准起草</w:t>
      </w:r>
    </w:p>
    <w:p w14:paraId="04BF167B">
      <w:pPr>
        <w:bidi w:val="0"/>
        <w:rPr>
          <w:rFonts w:hint="eastAsia"/>
        </w:rPr>
      </w:pPr>
      <w:r>
        <w:rPr>
          <w:rFonts w:hint="eastAsia"/>
        </w:rPr>
        <w:t>2023年</w:t>
      </w:r>
      <w:r>
        <w:rPr>
          <w:rFonts w:hint="eastAsia"/>
          <w:lang w:val="en-US" w:eastAsia="zh-CN"/>
        </w:rPr>
        <w:t>8</w:t>
      </w:r>
      <w:r>
        <w:rPr>
          <w:rFonts w:hint="eastAsia"/>
        </w:rPr>
        <w:t>月，成立了以</w:t>
      </w:r>
      <w:r>
        <w:rPr>
          <w:rFonts w:hint="eastAsia"/>
          <w:lang w:val="en-US" w:eastAsia="zh-CN"/>
        </w:rPr>
        <w:t>江苏省</w:t>
      </w:r>
      <w:r>
        <w:rPr>
          <w:rFonts w:hint="eastAsia"/>
        </w:rPr>
        <w:t>市场监督管理局，江苏省特种设备安全监督检验研究院，南京擎天科技有限公司，塞拉尼斯（南京）化工有限公司，方圆标志认证集团江苏有限公司为成员</w:t>
      </w:r>
      <w:r>
        <w:rPr>
          <w:rFonts w:hint="eastAsia"/>
          <w:lang w:val="en-US" w:eastAsia="zh-CN"/>
        </w:rPr>
        <w:t>单位</w:t>
      </w:r>
      <w:r>
        <w:rPr>
          <w:rFonts w:hint="eastAsia"/>
        </w:rPr>
        <w:t>的标准</w:t>
      </w:r>
      <w:r>
        <w:rPr>
          <w:rFonts w:hint="eastAsia"/>
          <w:lang w:val="en-US" w:eastAsia="zh-CN"/>
        </w:rPr>
        <w:t>起草</w:t>
      </w:r>
      <w:r>
        <w:rPr>
          <w:rFonts w:hint="eastAsia"/>
        </w:rPr>
        <w:t xml:space="preserve">组，组织相关资料的收集梳理工作。 </w:t>
      </w:r>
    </w:p>
    <w:p w14:paraId="0F228ECB">
      <w:pPr>
        <w:bidi w:val="0"/>
        <w:rPr>
          <w:rFonts w:hint="eastAsia"/>
          <w:lang w:eastAsia="zh-CN"/>
        </w:rPr>
      </w:pPr>
      <w:r>
        <w:rPr>
          <w:rFonts w:hint="eastAsia"/>
        </w:rPr>
        <w:t>2023年</w:t>
      </w:r>
      <w:r>
        <w:rPr>
          <w:rFonts w:hint="eastAsia"/>
          <w:lang w:val="en-US" w:eastAsia="zh-CN"/>
        </w:rPr>
        <w:t>9</w:t>
      </w:r>
      <w:r>
        <w:rPr>
          <w:rFonts w:hint="eastAsia"/>
        </w:rPr>
        <w:t>月，起草组召开研讨会议，依据标准编制的目的及要求，制定了标准编制工作方案</w:t>
      </w:r>
      <w:r>
        <w:rPr>
          <w:rFonts w:hint="eastAsia"/>
          <w:lang w:eastAsia="zh-CN"/>
        </w:rPr>
        <w:t>。</w:t>
      </w:r>
    </w:p>
    <w:p w14:paraId="389A0E04">
      <w:pPr>
        <w:bidi w:val="0"/>
        <w:rPr>
          <w:rFonts w:hint="eastAsia"/>
        </w:rPr>
      </w:pPr>
      <w:r>
        <w:rPr>
          <w:rFonts w:hint="eastAsia"/>
          <w:lang w:val="en-US" w:eastAsia="zh-CN"/>
        </w:rPr>
        <w:t>2023年9月至2024年3月，</w:t>
      </w:r>
      <w:r>
        <w:rPr>
          <w:rFonts w:hint="eastAsia"/>
        </w:rPr>
        <w:t>在收集资料和调研资料的基础上，依据标准工作方案的框架下修改标准，</w:t>
      </w:r>
      <w:r>
        <w:rPr>
          <w:rFonts w:hint="eastAsia"/>
          <w:lang w:val="en-US" w:eastAsia="zh-CN"/>
        </w:rPr>
        <w:t>起草</w:t>
      </w:r>
      <w:r>
        <w:rPr>
          <w:rFonts w:hint="eastAsia"/>
        </w:rPr>
        <w:t>组多次内部讨论并组织有关专家参与研讨，根据专家意见修改完善标准，多次修改完善标准，形成标准的征求意见稿。</w:t>
      </w:r>
    </w:p>
    <w:p w14:paraId="6F798C08">
      <w:pPr>
        <w:bidi w:val="0"/>
        <w:rPr>
          <w:rFonts w:hint="eastAsia"/>
        </w:rPr>
      </w:pPr>
      <w:r>
        <w:rPr>
          <w:rFonts w:hint="eastAsia"/>
        </w:rPr>
        <w:t>第四阶段：</w:t>
      </w:r>
      <w:r>
        <w:rPr>
          <w:rFonts w:hint="eastAsia"/>
          <w:lang w:val="en-US" w:eastAsia="zh-CN"/>
        </w:rPr>
        <w:t>公开</w:t>
      </w:r>
      <w:r>
        <w:rPr>
          <w:rFonts w:hint="eastAsia"/>
        </w:rPr>
        <w:t>征求意见阶段</w:t>
      </w:r>
    </w:p>
    <w:p w14:paraId="32282829">
      <w:pPr>
        <w:bidi w:val="0"/>
        <w:rPr>
          <w:rFonts w:hint="eastAsia"/>
        </w:rPr>
      </w:pPr>
      <w:r>
        <w:rPr>
          <w:rFonts w:hint="eastAsia"/>
        </w:rPr>
        <w:t>202</w:t>
      </w:r>
      <w:r>
        <w:rPr>
          <w:rFonts w:hint="eastAsia"/>
          <w:lang w:val="en-US" w:eastAsia="zh-CN"/>
        </w:rPr>
        <w:t>4</w:t>
      </w:r>
      <w:r>
        <w:rPr>
          <w:rFonts w:hint="eastAsia"/>
        </w:rPr>
        <w:t>年</w:t>
      </w:r>
      <w:r>
        <w:rPr>
          <w:rFonts w:hint="eastAsia"/>
          <w:lang w:val="en-US" w:eastAsia="zh-CN"/>
        </w:rPr>
        <w:t>4</w:t>
      </w:r>
      <w:r>
        <w:rPr>
          <w:rFonts w:hint="eastAsia"/>
        </w:rPr>
        <w:t>月至</w:t>
      </w:r>
      <w:r>
        <w:rPr>
          <w:rFonts w:hint="eastAsia"/>
          <w:lang w:val="en-US" w:eastAsia="zh-CN"/>
        </w:rPr>
        <w:t>5</w:t>
      </w:r>
      <w:r>
        <w:rPr>
          <w:rFonts w:hint="eastAsia"/>
        </w:rPr>
        <w:t>月期间，</w:t>
      </w:r>
      <w:r>
        <w:rPr>
          <w:rFonts w:hint="eastAsia"/>
          <w:lang w:val="en-US" w:eastAsia="zh-CN"/>
        </w:rPr>
        <w:t>在省特检院官网上第一次</w:t>
      </w:r>
      <w:r>
        <w:rPr>
          <w:rFonts w:hint="eastAsia"/>
        </w:rPr>
        <w:t>公开征求意见，最终收回意见</w:t>
      </w:r>
      <w:r>
        <w:rPr>
          <w:rFonts w:hint="eastAsia"/>
          <w:lang w:val="en-US" w:eastAsia="zh-CN"/>
        </w:rPr>
        <w:t>15</w:t>
      </w:r>
      <w:r>
        <w:rPr>
          <w:rFonts w:hint="eastAsia"/>
        </w:rPr>
        <w:t>条，其中，采纳</w:t>
      </w:r>
      <w:r>
        <w:rPr>
          <w:rFonts w:hint="eastAsia"/>
          <w:lang w:val="en-US" w:eastAsia="zh-CN"/>
        </w:rPr>
        <w:t>8</w:t>
      </w:r>
      <w:r>
        <w:rPr>
          <w:rFonts w:hint="eastAsia"/>
        </w:rPr>
        <w:t>条、</w:t>
      </w:r>
      <w:r>
        <w:rPr>
          <w:rFonts w:hint="eastAsia"/>
          <w:lang w:val="en-US" w:eastAsia="zh-CN"/>
        </w:rPr>
        <w:t>部分采纳1条，</w:t>
      </w:r>
      <w:r>
        <w:rPr>
          <w:rFonts w:hint="eastAsia"/>
        </w:rPr>
        <w:t>未采纳</w:t>
      </w:r>
      <w:r>
        <w:rPr>
          <w:rFonts w:hint="eastAsia"/>
          <w:lang w:val="en-US" w:eastAsia="zh-CN"/>
        </w:rPr>
        <w:t>6</w:t>
      </w:r>
      <w:r>
        <w:rPr>
          <w:rFonts w:hint="eastAsia"/>
        </w:rPr>
        <w:t>条。</w:t>
      </w:r>
    </w:p>
    <w:p w14:paraId="5E05FF97">
      <w:pPr>
        <w:bidi w:val="0"/>
        <w:rPr>
          <w:rFonts w:hint="eastAsia"/>
          <w:lang w:val="en-US" w:eastAsia="zh-CN"/>
        </w:rPr>
      </w:pPr>
      <w:r>
        <w:rPr>
          <w:rFonts w:hint="eastAsia"/>
          <w:lang w:val="en-US" w:eastAsia="zh-CN"/>
        </w:rPr>
        <w:t>2024年6月至7月期间，起草组召开研讨会议，就修改后的征求意见稿进行逐条讨论、修订。</w:t>
      </w:r>
    </w:p>
    <w:p w14:paraId="1E753EF1">
      <w:pPr>
        <w:bidi w:val="0"/>
        <w:rPr>
          <w:rFonts w:hint="default" w:eastAsia="仿宋"/>
          <w:lang w:val="en-US" w:eastAsia="zh-CN"/>
        </w:rPr>
      </w:pPr>
      <w:r>
        <w:rPr>
          <w:rFonts w:hint="eastAsia"/>
          <w:lang w:val="en-US" w:eastAsia="zh-CN"/>
        </w:rPr>
        <w:t>2024年8月至9月期间，形成第二次征求意见稿和编制说明，报省局标准化处公开征求意见。</w:t>
      </w:r>
    </w:p>
    <w:p w14:paraId="4E5F4AF5">
      <w:pPr>
        <w:bidi w:val="0"/>
        <w:rPr>
          <w:rFonts w:hint="eastAsia"/>
        </w:rPr>
      </w:pPr>
      <w:r>
        <w:rPr>
          <w:rFonts w:hint="eastAsia"/>
        </w:rPr>
        <w:t>第五阶段：标准审查阶段</w:t>
      </w:r>
    </w:p>
    <w:p w14:paraId="52D23283">
      <w:pPr>
        <w:bidi w:val="0"/>
        <w:rPr>
          <w:rFonts w:hint="eastAsia"/>
        </w:rPr>
      </w:pPr>
      <w:r>
        <w:rPr>
          <w:rFonts w:hint="eastAsia"/>
        </w:rPr>
        <w:t>202</w:t>
      </w:r>
      <w:r>
        <w:rPr>
          <w:rFonts w:hint="eastAsia"/>
          <w:lang w:val="en-US" w:eastAsia="zh-CN"/>
        </w:rPr>
        <w:t>4</w:t>
      </w:r>
      <w:r>
        <w:rPr>
          <w:rFonts w:hint="eastAsia"/>
        </w:rPr>
        <w:t>年</w:t>
      </w:r>
      <w:r>
        <w:rPr>
          <w:rFonts w:hint="eastAsia"/>
          <w:lang w:val="en-US" w:eastAsia="zh-CN"/>
        </w:rPr>
        <w:t>X</w:t>
      </w:r>
      <w:r>
        <w:rPr>
          <w:rFonts w:hint="eastAsia"/>
        </w:rPr>
        <w:t>月，起草组修改后形成了标准送审稿报</w:t>
      </w:r>
      <w:r>
        <w:rPr>
          <w:rFonts w:hint="eastAsia"/>
          <w:lang w:val="en-US" w:eastAsia="zh-CN"/>
        </w:rPr>
        <w:t>江苏省</w:t>
      </w:r>
      <w:r>
        <w:rPr>
          <w:rFonts w:hint="eastAsia"/>
        </w:rPr>
        <w:t>市场监督管理局审查。</w:t>
      </w:r>
    </w:p>
    <w:p w14:paraId="0630B0C1">
      <w:pPr>
        <w:bidi w:val="0"/>
        <w:rPr>
          <w:rFonts w:hint="eastAsia"/>
        </w:rPr>
      </w:pPr>
      <w:r>
        <w:rPr>
          <w:rFonts w:hint="eastAsia"/>
        </w:rPr>
        <w:t>第六阶段：报批阶段</w:t>
      </w:r>
    </w:p>
    <w:p w14:paraId="0B37FB48">
      <w:pPr>
        <w:bidi w:val="0"/>
        <w:rPr>
          <w:rFonts w:hint="eastAsia"/>
        </w:rPr>
      </w:pPr>
      <w:r>
        <w:rPr>
          <w:rFonts w:hint="eastAsia"/>
        </w:rPr>
        <w:t>202</w:t>
      </w:r>
      <w:r>
        <w:rPr>
          <w:rFonts w:hint="eastAsia"/>
          <w:lang w:val="en-US" w:eastAsia="zh-CN"/>
        </w:rPr>
        <w:t>4</w:t>
      </w:r>
      <w:r>
        <w:rPr>
          <w:rFonts w:hint="eastAsia"/>
        </w:rPr>
        <w:t>年</w:t>
      </w:r>
      <w:r>
        <w:rPr>
          <w:rFonts w:hint="eastAsia"/>
          <w:lang w:val="en-US" w:eastAsia="zh-CN"/>
        </w:rPr>
        <w:t>X</w:t>
      </w:r>
      <w:r>
        <w:rPr>
          <w:rFonts w:hint="eastAsia"/>
        </w:rPr>
        <w:t>月，根据审查修改标准形成标准报批稿。</w:t>
      </w:r>
    </w:p>
    <w:p w14:paraId="35654239">
      <w:pPr>
        <w:spacing w:line="360" w:lineRule="auto"/>
        <w:ind w:firstLine="640" w:firstLineChars="200"/>
        <w:outlineLvl w:val="0"/>
        <w:rPr>
          <w:rFonts w:hint="default" w:ascii="黑体" w:hAnsi="黑体" w:eastAsia="黑体" w:cs="黑体"/>
          <w:sz w:val="32"/>
          <w:szCs w:val="32"/>
          <w:highlight w:val="yellow"/>
          <w:lang w:val="en-US" w:eastAsia="zh-CN"/>
        </w:rPr>
      </w:pPr>
      <w:r>
        <w:rPr>
          <w:rFonts w:hint="eastAsia" w:ascii="黑体" w:hAnsi="黑体" w:eastAsia="黑体" w:cs="黑体"/>
          <w:sz w:val="32"/>
          <w:szCs w:val="32"/>
          <w:highlight w:val="none"/>
        </w:rPr>
        <w:t>四、主要内容和技术指标</w:t>
      </w:r>
      <w:r>
        <w:rPr>
          <w:rFonts w:hint="eastAsia" w:ascii="黑体" w:hAnsi="黑体" w:eastAsia="黑体" w:cs="黑体"/>
          <w:sz w:val="32"/>
          <w:szCs w:val="32"/>
          <w:highlight w:val="none"/>
          <w:lang w:val="en-US" w:eastAsia="zh-CN"/>
        </w:rPr>
        <w:t>确立的依据</w:t>
      </w:r>
    </w:p>
    <w:p w14:paraId="7B14CD66">
      <w:pPr>
        <w:spacing w:line="360" w:lineRule="auto"/>
        <w:ind w:firstLine="560" w:firstLineChars="200"/>
        <w:outlineLvl w:val="0"/>
        <w:rPr>
          <w:rFonts w:hint="eastAsia"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一</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标准编制原则</w:t>
      </w:r>
    </w:p>
    <w:p w14:paraId="3B93028E">
      <w:pPr>
        <w:bidi w:val="0"/>
        <w:rPr>
          <w:rFonts w:hint="default"/>
          <w:lang w:val="en-US" w:eastAsia="zh-CN"/>
        </w:rPr>
      </w:pPr>
      <w:r>
        <w:rPr>
          <w:rFonts w:hint="eastAsia"/>
        </w:rPr>
        <w:t>本标准依据GB/T 1.1—2020《标准化工作导则 第1部分：标准的结构和编写原则》的要求进行编制。在规范性要素的选择方面，遵循标准化对象原则、文件使用者原则和目的导向原则，对标准化对象分析，确保规范性要素的内容紧扣编制目的。在表述方面，遵循一致性、协调性、易用性的原则。</w:t>
      </w:r>
    </w:p>
    <w:p w14:paraId="4300B7A2">
      <w:pPr>
        <w:spacing w:line="360" w:lineRule="auto"/>
        <w:ind w:firstLine="560" w:firstLineChars="200"/>
        <w:outlineLvl w:val="0"/>
        <w:rPr>
          <w:rFonts w:hint="eastAsia"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依据的法律法规</w:t>
      </w:r>
    </w:p>
    <w:p w14:paraId="5E3173ED">
      <w:pPr>
        <w:spacing w:line="360" w:lineRule="auto"/>
        <w:ind w:firstLine="600" w:firstLineChars="200"/>
        <w:outlineLvl w:val="0"/>
        <w:rPr>
          <w:rFonts w:hint="default" w:ascii="楷体" w:hAnsi="楷体" w:eastAsia="仿宋" w:cs="楷体"/>
          <w:sz w:val="28"/>
          <w:szCs w:val="28"/>
          <w:lang w:val="en-US" w:eastAsia="zh-CN"/>
        </w:rPr>
      </w:pPr>
      <w:r>
        <w:rPr>
          <w:rFonts w:hint="eastAsia"/>
        </w:rPr>
        <w:t>本标准依据</w:t>
      </w:r>
      <w:r>
        <w:rPr>
          <w:rFonts w:hint="eastAsia"/>
          <w:lang w:val="en-US" w:eastAsia="zh-CN"/>
        </w:rPr>
        <w:t>技术指标确定的法律法规主要包括《中华人民共和国安全生产法》（2021年9月）、《中华人民共和国特种设备安全法》（2014年1月）、《特种设备安全监察条例》（2009年1月）以及《江苏省工业企业安全生产风险报告规定》（江苏省人民政府令第 140 号）、《江苏省防范遏制重特大事故构建双重预防机制实施办法》（苏安办〔2016〕103 号）、《关于印发江苏省防范遏制特种设备重特大事故构建双重预防机制实施方案的通知》（苏质监特发〔2017〕83 号）等。</w:t>
      </w:r>
    </w:p>
    <w:p w14:paraId="46F6CB72">
      <w:pPr>
        <w:spacing w:line="360" w:lineRule="auto"/>
        <w:ind w:firstLine="560" w:firstLineChars="200"/>
        <w:outlineLvl w:val="0"/>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三</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主要内容确定的依据</w:t>
      </w:r>
    </w:p>
    <w:p w14:paraId="127A019B">
      <w:pPr>
        <w:bidi w:val="0"/>
        <w:rPr>
          <w:rFonts w:hint="eastAsia"/>
          <w:lang w:val="en-US" w:eastAsia="zh-CN"/>
        </w:rPr>
      </w:pPr>
      <w:r>
        <w:rPr>
          <w:rFonts w:hint="eastAsia"/>
          <w:lang w:val="en-US" w:eastAsia="zh-CN"/>
        </w:rPr>
        <w:t>本标准共6章，其中主要技术内容包括数据归集流程、数据更新要求、数据归集安全、附录A、附录B、附录C共六章内容。在编制过程中，重点参考了《应急管理部危化监管一司关于印发&lt;化工园区安全风险智能化管控平台数据交换规范（试行）&gt;的通知》（2023年9月）、《应急管理部危化监管一司关于印发&lt;危险化学品生产经营企业双重预防机制数字化建设数据交换规范（2024年修订版）&gt;的通知》（2024年3月）、《省应急管理厅关于印发&lt;江苏省化工企业安全生产信息化管理平台数据对接标准&gt;的通知》（2022年5月）、《江苏省应急管理厅数据接入指南》（2024年7月）以及《DB32 / T 4088-2021 特种设备双重预防机制建设规范》、《DB32/T 4664-2024 涉危险化学品生产企业特种设备双重预防机制建设实施规范》、《DB32 / T 4086-2021 特种设备风险分级管控工作规范》、《</w:t>
      </w:r>
      <w:r>
        <w:rPr>
          <w:rFonts w:hint="eastAsia"/>
        </w:rPr>
        <w:t>DB32/T 4087-2021 特种设备隐患排查治理工作规范</w:t>
      </w:r>
      <w:r>
        <w:rPr>
          <w:rFonts w:hint="eastAsia"/>
          <w:lang w:eastAsia="zh-CN"/>
        </w:rPr>
        <w:t>》</w:t>
      </w:r>
      <w:r>
        <w:rPr>
          <w:rFonts w:hint="eastAsia"/>
          <w:lang w:val="en-US" w:eastAsia="zh-CN"/>
        </w:rPr>
        <w:t>等内容，确定了标准的主要技术内容。</w:t>
      </w:r>
    </w:p>
    <w:p w14:paraId="23FFA941">
      <w:pPr>
        <w:bidi w:val="0"/>
        <w:rPr>
          <w:rFonts w:hint="eastAsia"/>
          <w:lang w:val="en-US" w:eastAsia="zh-CN"/>
        </w:rPr>
      </w:pPr>
      <w:r>
        <w:rPr>
          <w:rFonts w:hint="eastAsia"/>
          <w:lang w:val="en-US" w:eastAsia="zh-CN"/>
        </w:rPr>
        <w:t>第三章规定了特种设备双重预防数据归集流程，主要对数据归集要求、数据归集内容、数据归集方式、库表归集、数据接口归集、开展数据归集、归集结果确认进行了规范。在库表归集、数据接口归集内容确认上，由于企业已经在省应急管理厅开展了数据归集工作，所以，本部分内容参考省应急管理厅数据接入的相关规范，尽量保持全省企业数据归集的一致性，方便企业开展数据归集工作。</w:t>
      </w:r>
    </w:p>
    <w:p w14:paraId="024CE422">
      <w:pPr>
        <w:bidi w:val="0"/>
        <w:rPr>
          <w:rFonts w:hint="eastAsia"/>
          <w:lang w:val="en-US" w:eastAsia="zh-CN"/>
        </w:rPr>
      </w:pPr>
      <w:r>
        <w:rPr>
          <w:rFonts w:hint="eastAsia"/>
          <w:lang w:val="en-US" w:eastAsia="zh-CN"/>
        </w:rPr>
        <w:t>第四章规定了特种设备双重预防数据归集的数据更新要求。明确了增量更新和全量更新的数据更新方法，并且参考应急管理部、省应急管理厅数据归集的更新周期的相关规范，对单位基本信息、单位部门信息、人员基本信息、制度建设信息、安全培训信息、风险点信息、危险源信息、风险图库信息、隐患排查治理信息等归集内容确定了每日更新的规定。</w:t>
      </w:r>
    </w:p>
    <w:p w14:paraId="74FE48C6">
      <w:pPr>
        <w:bidi w:val="0"/>
        <w:rPr>
          <w:rFonts w:hint="default"/>
          <w:lang w:val="en-US" w:eastAsia="zh-CN"/>
        </w:rPr>
      </w:pPr>
      <w:r>
        <w:rPr>
          <w:rFonts w:hint="eastAsia"/>
          <w:lang w:val="en-US" w:eastAsia="zh-CN"/>
        </w:rPr>
        <w:t>第五章规定了数据归集安全。明确了数据安全风险分析方法和测试与验证方法，重点是依据《GB/T 18491.3-2010 信息技术 软件测量 功能规模测量 第3部分：功能规模测量方法的验证》、《GB/T 22239 信息安全技术 网络安全等级保护基本要求》、《GB/T 34990-2017 信息安全技术 信息系统安全管理平台技术要求和测试评价方法》、《GB/T 35273 信息安全技术 个人信息安全规范》、《GB/T 37973 信息安全技术 大数据安全管理指南》、《GB/T 39477 信息安全技术 政务信息共享数据安全技术要求》等标准规范，对企业开展库表归集、数据接口归集工作的数据安全、网络安全等方面提出要求。</w:t>
      </w:r>
    </w:p>
    <w:p w14:paraId="7752E7BB">
      <w:pPr>
        <w:bidi w:val="0"/>
        <w:rPr>
          <w:rFonts w:hint="default" w:eastAsia="仿宋"/>
          <w:lang w:val="en-US" w:eastAsia="zh-CN"/>
        </w:rPr>
      </w:pPr>
      <w:r>
        <w:rPr>
          <w:rFonts w:hint="eastAsia"/>
          <w:lang w:val="en-US" w:eastAsia="zh-CN"/>
        </w:rPr>
        <w:t>附录部分，主要对数据归集步骤、归集数据结构要求、归集数据技术语言要求等进行规范。附录A：规定了数据归集步骤，按照分配账号密码验证方式、获取访问令牌、接口调用等步骤来开展归集工作；附录B，规定了数据归集详细的数据类型、数据结构、业务数据表等内容；附录C，规定了数据接口</w:t>
      </w:r>
      <w:r>
        <w:t>json消息体数据</w:t>
      </w:r>
      <w:r>
        <w:rPr>
          <w:rFonts w:hint="eastAsia"/>
          <w:lang w:eastAsia="zh-CN"/>
        </w:rPr>
        <w:t>，</w:t>
      </w:r>
      <w:r>
        <w:rPr>
          <w:rFonts w:hint="eastAsia"/>
          <w:lang w:val="en-US" w:eastAsia="zh-CN"/>
        </w:rPr>
        <w:t>增加、删除、修改数据接口描述。</w:t>
      </w:r>
    </w:p>
    <w:p w14:paraId="0DCEED42">
      <w:pPr>
        <w:numPr>
          <w:ilvl w:val="0"/>
          <w:numId w:val="1"/>
        </w:numPr>
        <w:spacing w:line="580" w:lineRule="exact"/>
        <w:ind w:firstLine="602" w:firstLineChars="200"/>
        <w:rPr>
          <w:rFonts w:hint="eastAsia"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重大分歧意见的处理过程和依据</w:t>
      </w:r>
    </w:p>
    <w:p w14:paraId="40C9A676">
      <w:pPr>
        <w:numPr>
          <w:ilvl w:val="0"/>
          <w:numId w:val="0"/>
        </w:numPr>
        <w:spacing w:line="580" w:lineRule="exact"/>
        <w:ind w:firstLine="600" w:firstLineChars="200"/>
        <w:rPr>
          <w:rFonts w:hint="eastAsia" w:ascii="黑体" w:hAnsi="黑体" w:eastAsia="黑体"/>
          <w:b/>
          <w:color w:val="000000" w:themeColor="text1"/>
          <w:szCs w:val="32"/>
          <w14:textFill>
            <w14:solidFill>
              <w14:schemeClr w14:val="tx1"/>
            </w14:solidFill>
          </w14:textFill>
        </w:rPr>
      </w:pPr>
      <w:r>
        <w:rPr>
          <w:rFonts w:hint="default" w:ascii="Times New Roman" w:hAnsi="Times New Roman" w:eastAsia="仿宋_GB2312" w:cs="Times New Roman"/>
          <w:sz w:val="30"/>
          <w:szCs w:val="30"/>
          <w:lang w:eastAsia="zh-CN"/>
        </w:rPr>
        <w:t>本标准在编制过程中</w:t>
      </w:r>
      <w:r>
        <w:rPr>
          <w:rFonts w:hint="default" w:ascii="Times New Roman" w:hAnsi="Times New Roman" w:eastAsia="仿宋_GB2312" w:cs="Times New Roman"/>
          <w:sz w:val="30"/>
          <w:szCs w:val="30"/>
          <w:lang w:val="en-US" w:eastAsia="zh-CN"/>
        </w:rPr>
        <w:t>无</w:t>
      </w:r>
      <w:r>
        <w:rPr>
          <w:rFonts w:hint="default" w:ascii="Times New Roman" w:hAnsi="Times New Roman" w:eastAsia="仿宋_GB2312" w:cs="Times New Roman"/>
          <w:sz w:val="30"/>
          <w:szCs w:val="30"/>
          <w:lang w:eastAsia="zh-CN"/>
        </w:rPr>
        <w:t>重大意见分歧。</w:t>
      </w:r>
    </w:p>
    <w:p w14:paraId="410D19B0">
      <w:pPr>
        <w:numPr>
          <w:ilvl w:val="0"/>
          <w:numId w:val="1"/>
        </w:numPr>
        <w:spacing w:line="580" w:lineRule="exact"/>
        <w:ind w:firstLine="602" w:firstLineChars="200"/>
        <w:rPr>
          <w:rFonts w:hint="eastAsia"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与相关法律法规和标准的关系</w:t>
      </w:r>
    </w:p>
    <w:p w14:paraId="4FFF4A29">
      <w:pPr>
        <w:bidi w:val="0"/>
      </w:pPr>
      <w:r>
        <w:rPr>
          <w:rFonts w:hint="eastAsia"/>
          <w:lang w:val="en-US" w:eastAsia="zh-CN"/>
        </w:rPr>
        <w:t>本</w:t>
      </w:r>
      <w:r>
        <w:rPr>
          <w:rFonts w:hint="eastAsia"/>
        </w:rPr>
        <w:t>标准</w:t>
      </w:r>
      <w:r>
        <w:rPr>
          <w:rFonts w:hint="eastAsia"/>
          <w:lang w:val="en-US" w:eastAsia="zh-CN"/>
        </w:rPr>
        <w:t>符合国家现行法律、法规、规章和强制性国家标准的要求。</w:t>
      </w:r>
    </w:p>
    <w:p w14:paraId="1E2EE150">
      <w:pPr>
        <w:numPr>
          <w:ilvl w:val="0"/>
          <w:numId w:val="1"/>
        </w:numPr>
        <w:spacing w:line="580" w:lineRule="exact"/>
        <w:ind w:left="0" w:leftChars="0" w:firstLine="602" w:firstLineChars="200"/>
        <w:rPr>
          <w:rFonts w:hint="eastAsia"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推广实施建议</w:t>
      </w:r>
    </w:p>
    <w:p w14:paraId="2AC5D9A6">
      <w:pPr>
        <w:bidi w:val="0"/>
        <w:rPr>
          <w:rFonts w:hint="eastAsia"/>
        </w:rPr>
      </w:pPr>
      <w:r>
        <w:rPr>
          <w:rFonts w:hint="eastAsia"/>
          <w:lang w:val="en-US" w:eastAsia="zh-CN"/>
        </w:rPr>
        <w:t>1、</w:t>
      </w:r>
      <w:r>
        <w:rPr>
          <w:rFonts w:hint="eastAsia"/>
        </w:rPr>
        <w:t>加大标准宣贯力度，</w:t>
      </w:r>
      <w:r>
        <w:rPr>
          <w:rFonts w:hint="eastAsia"/>
          <w:lang w:val="en-US" w:eastAsia="zh-CN"/>
        </w:rPr>
        <w:t>以特种设备双重预防机制建设试点单位</w:t>
      </w:r>
      <w:r>
        <w:rPr>
          <w:rFonts w:hint="eastAsia"/>
        </w:rPr>
        <w:t>的</w:t>
      </w:r>
      <w:r>
        <w:rPr>
          <w:rFonts w:hint="eastAsia"/>
          <w:lang w:val="en-US" w:eastAsia="zh-CN"/>
        </w:rPr>
        <w:t>基础上，以点带面，</w:t>
      </w:r>
      <w:r>
        <w:rPr>
          <w:rFonts w:hint="eastAsia"/>
        </w:rPr>
        <w:t>扩大宣贯范围，</w:t>
      </w:r>
      <w:r>
        <w:rPr>
          <w:rFonts w:hint="eastAsia"/>
          <w:lang w:val="en-US" w:eastAsia="zh-CN"/>
        </w:rPr>
        <w:t>在全省特种设备使用单位中</w:t>
      </w:r>
      <w:r>
        <w:rPr>
          <w:rFonts w:hint="eastAsia"/>
        </w:rPr>
        <w:t>推进标准实施。</w:t>
      </w:r>
    </w:p>
    <w:p w14:paraId="3CA426E0">
      <w:pPr>
        <w:bidi w:val="0"/>
        <w:rPr>
          <w:rFonts w:hint="eastAsia"/>
        </w:rPr>
      </w:pPr>
      <w:r>
        <w:rPr>
          <w:rFonts w:hint="eastAsia"/>
          <w:lang w:val="en-US" w:eastAsia="zh-CN"/>
        </w:rPr>
        <w:t>2</w:t>
      </w:r>
      <w:r>
        <w:rPr>
          <w:rFonts w:hint="eastAsia"/>
        </w:rPr>
        <w:t>、做好标准反馈和适用性评价，记录标准在实际应用中的具体效果，对于实用性不强、适用性差的条款要及时反馈到归口单位，以便采取相应的措施，提高标准实施效果。</w:t>
      </w:r>
    </w:p>
    <w:p w14:paraId="695394BA">
      <w:pPr>
        <w:bidi w:val="0"/>
        <w:rPr>
          <w:rFonts w:hint="eastAsia" w:eastAsia="仿宋"/>
          <w:lang w:val="en-US" w:eastAsia="zh-CN"/>
        </w:rPr>
      </w:pPr>
      <w:r>
        <w:rPr>
          <w:rFonts w:hint="eastAsia"/>
          <w:lang w:val="en-US" w:eastAsia="zh-CN"/>
        </w:rPr>
        <w:t>3、标准起草组继续开展研究，改进和完善标准的相关内容，同时加强与全国其他省市相关单位的交流合作，争取提升为国家标准或行业标准，使标准化经验影响范围更广泛。</w:t>
      </w:r>
    </w:p>
    <w:p w14:paraId="7445BE95">
      <w:pPr>
        <w:numPr>
          <w:ilvl w:val="0"/>
          <w:numId w:val="1"/>
        </w:numPr>
        <w:spacing w:line="580" w:lineRule="exact"/>
        <w:ind w:left="0" w:leftChars="0" w:firstLine="602" w:firstLineChars="200"/>
        <w:rPr>
          <w:rFonts w:hint="eastAsia" w:ascii="黑体" w:hAnsi="黑体" w:eastAsia="黑体"/>
          <w:b/>
          <w:color w:val="000000" w:themeColor="text1"/>
          <w:szCs w:val="32"/>
          <w14:textFill>
            <w14:solidFill>
              <w14:schemeClr w14:val="tx1"/>
            </w14:solidFill>
          </w14:textFill>
        </w:rPr>
      </w:pPr>
      <w:r>
        <w:rPr>
          <w:rFonts w:hint="eastAsia" w:ascii="黑体" w:hAnsi="黑体" w:eastAsia="黑体"/>
          <w:b/>
          <w:color w:val="000000" w:themeColor="text1"/>
          <w:szCs w:val="32"/>
          <w14:textFill>
            <w14:solidFill>
              <w14:schemeClr w14:val="tx1"/>
            </w14:solidFill>
          </w14:textFill>
        </w:rPr>
        <w:t>起草单位和起草人员信息及分工</w:t>
      </w:r>
    </w:p>
    <w:p w14:paraId="26FC9294">
      <w:pPr>
        <w:bidi w:val="0"/>
        <w:rPr>
          <w:rFonts w:hint="eastAsia"/>
        </w:rPr>
      </w:pPr>
      <w:r>
        <w:rPr>
          <w:rFonts w:hint="eastAsia"/>
        </w:rPr>
        <w:t>（一）起草单位</w:t>
      </w:r>
    </w:p>
    <w:p w14:paraId="5CE30058">
      <w:pPr>
        <w:bidi w:val="0"/>
        <w:rPr>
          <w:rFonts w:hint="eastAsia"/>
        </w:rPr>
      </w:pPr>
      <w:r>
        <w:rPr>
          <w:rFonts w:hint="eastAsia"/>
        </w:rPr>
        <w:t>江苏省市场监督管理局，江苏省特种设备安全监督检验研究院，南京擎天科技有限公司，塞拉尼斯（南京）化工有限公司，方圆标志认证集团江苏有限公司。</w:t>
      </w:r>
    </w:p>
    <w:p w14:paraId="42EA4D25">
      <w:pPr>
        <w:bidi w:val="0"/>
        <w:rPr>
          <w:rFonts w:hint="eastAsia"/>
        </w:rPr>
      </w:pPr>
      <w:r>
        <w:rPr>
          <w:rFonts w:hint="eastAsia"/>
        </w:rPr>
        <w:t>（二）起草人员信息及分工</w:t>
      </w:r>
    </w:p>
    <w:p w14:paraId="155E67B9">
      <w:pPr>
        <w:bidi w:val="0"/>
        <w:rPr>
          <w:rFonts w:hint="eastAsia"/>
        </w:rPr>
      </w:pPr>
      <w:r>
        <w:rPr>
          <w:rFonts w:hint="eastAsia"/>
        </w:rPr>
        <w:t>起草人员信息及分工如下表所示：</w:t>
      </w:r>
    </w:p>
    <w:p w14:paraId="1054C6A1">
      <w:pPr>
        <w:pStyle w:val="3"/>
        <w:widowControl/>
        <w:spacing w:line="360" w:lineRule="auto"/>
        <w:jc w:val="center"/>
        <w:rPr>
          <w:rFonts w:ascii="黑体" w:hAnsi="黑体" w:cs="黑体"/>
          <w:color w:val="333333"/>
          <w:kern w:val="0"/>
          <w:sz w:val="32"/>
          <w:szCs w:val="32"/>
        </w:rPr>
      </w:pPr>
      <w:r>
        <w:rPr>
          <w:rFonts w:hint="eastAsia" w:ascii="黑体" w:hAnsi="黑体" w:cs="黑体"/>
          <w:sz w:val="30"/>
          <w:szCs w:val="30"/>
        </w:rPr>
        <w:t>起草人员信息表</w:t>
      </w:r>
    </w:p>
    <w:tbl>
      <w:tblPr>
        <w:tblStyle w:val="11"/>
        <w:tblW w:w="5080" w:type="pct"/>
        <w:tblInd w:w="0" w:type="dxa"/>
        <w:tblLayout w:type="fixed"/>
        <w:tblCellMar>
          <w:top w:w="0" w:type="dxa"/>
          <w:left w:w="108" w:type="dxa"/>
          <w:bottom w:w="0" w:type="dxa"/>
          <w:right w:w="108" w:type="dxa"/>
        </w:tblCellMar>
      </w:tblPr>
      <w:tblGrid>
        <w:gridCol w:w="737"/>
        <w:gridCol w:w="1191"/>
        <w:gridCol w:w="2907"/>
        <w:gridCol w:w="2514"/>
        <w:gridCol w:w="2089"/>
      </w:tblGrid>
      <w:tr w14:paraId="6EBE473B">
        <w:tblPrEx>
          <w:tblCellMar>
            <w:top w:w="0" w:type="dxa"/>
            <w:left w:w="108" w:type="dxa"/>
            <w:bottom w:w="0" w:type="dxa"/>
            <w:right w:w="108" w:type="dxa"/>
          </w:tblCellMar>
        </w:tblPrEx>
        <w:trPr>
          <w:trHeight w:val="496"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2967D">
            <w:pPr>
              <w:widowControl/>
              <w:adjustRightInd w:val="0"/>
              <w:snapToGrid w:val="0"/>
              <w:ind w:left="0" w:leftChars="0" w:firstLine="0" w:firstLineChars="0"/>
              <w:jc w:val="both"/>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序号</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9DFA">
            <w:pPr>
              <w:widowControl/>
              <w:adjustRightInd w:val="0"/>
              <w:snapToGrid w:val="0"/>
              <w:ind w:left="0" w:leftChars="0"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姓名</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31809">
            <w:pPr>
              <w:widowControl/>
              <w:adjustRightInd w:val="0"/>
              <w:snapToGrid w:val="0"/>
              <w:ind w:left="0" w:leftChars="0"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单位名称</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31D3">
            <w:pPr>
              <w:widowControl/>
              <w:adjustRightInd w:val="0"/>
              <w:snapToGrid w:val="0"/>
              <w:ind w:left="0" w:leftChars="0" w:firstLine="0" w:firstLineChars="0"/>
              <w:jc w:val="center"/>
              <w:textAlignment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bidi="ar"/>
              </w:rPr>
              <w:t>职位</w:t>
            </w:r>
            <w:r>
              <w:rPr>
                <w:rFonts w:hint="eastAsia" w:ascii="仿宋" w:hAnsi="仿宋" w:cs="仿宋"/>
                <w:b/>
                <w:bCs/>
                <w:color w:val="000000"/>
                <w:kern w:val="0"/>
                <w:sz w:val="24"/>
                <w:lang w:val="en-US" w:eastAsia="zh-CN" w:bidi="ar"/>
              </w:rPr>
              <w:t>/职称</w:t>
            </w:r>
          </w:p>
        </w:tc>
        <w:tc>
          <w:tcPr>
            <w:tcW w:w="1106"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2E7CB7B5">
            <w:pPr>
              <w:widowControl/>
              <w:adjustRightInd w:val="0"/>
              <w:snapToGrid w:val="0"/>
              <w:ind w:left="0" w:leftChars="0" w:firstLine="0" w:firstLineChars="0"/>
              <w:jc w:val="center"/>
              <w:textAlignment w:val="center"/>
              <w:rPr>
                <w:rFonts w:hint="eastAsia" w:ascii="仿宋" w:hAnsi="仿宋" w:eastAsia="仿宋" w:cs="仿宋"/>
                <w:b/>
                <w:bCs/>
                <w:color w:val="000000"/>
                <w:kern w:val="0"/>
                <w:sz w:val="24"/>
                <w:lang w:val="en-US" w:eastAsia="zh-CN" w:bidi="ar"/>
              </w:rPr>
            </w:pPr>
            <w:r>
              <w:rPr>
                <w:rFonts w:hint="eastAsia" w:ascii="仿宋" w:hAnsi="仿宋" w:cs="仿宋"/>
                <w:b/>
                <w:bCs/>
                <w:color w:val="000000"/>
                <w:kern w:val="0"/>
                <w:sz w:val="24"/>
                <w:lang w:val="en-US" w:eastAsia="zh-CN" w:bidi="ar"/>
              </w:rPr>
              <w:t>分工</w:t>
            </w:r>
          </w:p>
        </w:tc>
      </w:tr>
      <w:tr w14:paraId="76594C08">
        <w:tblPrEx>
          <w:tblCellMar>
            <w:top w:w="0" w:type="dxa"/>
            <w:left w:w="108" w:type="dxa"/>
            <w:bottom w:w="0" w:type="dxa"/>
            <w:right w:w="108" w:type="dxa"/>
          </w:tblCellMar>
        </w:tblPrEx>
        <w:trPr>
          <w:trHeight w:val="510"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688F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AA2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季一锦</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E53DD">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sz w:val="24"/>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320517C">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sz w:val="24"/>
              </w:rPr>
            </w:pPr>
            <w:r>
              <w:rPr>
                <w:rFonts w:hint="eastAsia" w:ascii="方正仿宋_GBK" w:hAnsi="方正仿宋_GBK" w:eastAsia="方正仿宋_GBK" w:cs="方正仿宋_GBK"/>
                <w:i w:val="0"/>
                <w:iCs w:val="0"/>
                <w:color w:val="000000"/>
                <w:kern w:val="0"/>
                <w:sz w:val="22"/>
                <w:szCs w:val="22"/>
                <w:u w:val="none"/>
                <w:lang w:val="en-US" w:eastAsia="zh-CN" w:bidi="ar"/>
              </w:rPr>
              <w:t>部门主任/正高级工程师</w:t>
            </w:r>
          </w:p>
        </w:tc>
        <w:tc>
          <w:tcPr>
            <w:tcW w:w="110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030B5B4">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规范文本编写（初稿、征求意见稿、送审稿）</w:t>
            </w:r>
          </w:p>
        </w:tc>
      </w:tr>
      <w:tr w14:paraId="322DF6B1">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B6D5">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DE02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梁建伟</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0CCCB">
            <w:pPr>
              <w:keepNext w:val="0"/>
              <w:keepLines w:val="0"/>
              <w:widowControl/>
              <w:suppressLineNumbers w:val="0"/>
              <w:spacing w:line="240" w:lineRule="auto"/>
              <w:ind w:left="0" w:leftChars="0" w:firstLine="0" w:firstLineChars="0"/>
              <w:jc w:val="left"/>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江苏省市场监督管理局</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4A50C0D3">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副处长</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6B0C69A">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2E4DD3D6">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E30D6">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3</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4E10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孙浩翔</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8456C">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2"/>
                <w:sz w:val="24"/>
                <w:szCs w:val="24"/>
                <w:lang w:val="en-US" w:eastAsia="zh-CN" w:bidi="ar-SA"/>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w:t>
            </w:r>
            <w:bookmarkStart w:id="1" w:name="_GoBack"/>
            <w:bookmarkEnd w:id="1"/>
            <w:r>
              <w:rPr>
                <w:rFonts w:hint="eastAsia" w:ascii="方正仿宋_GBK" w:hAnsi="方正仿宋_GBK" w:eastAsia="方正仿宋_GBK" w:cs="方正仿宋_GBK"/>
                <w:i w:val="0"/>
                <w:iCs w:val="0"/>
                <w:color w:val="000000"/>
                <w:kern w:val="0"/>
                <w:sz w:val="22"/>
                <w:szCs w:val="22"/>
                <w:u w:val="none"/>
                <w:lang w:val="en-US" w:eastAsia="zh-CN" w:bidi="ar"/>
              </w:rPr>
              <w:t>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E72166B">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2"/>
                <w:sz w:val="24"/>
                <w:szCs w:val="24"/>
                <w:lang w:val="en-US" w:eastAsia="zh-CN" w:bidi="ar-SA"/>
              </w:rPr>
            </w:pPr>
            <w:r>
              <w:rPr>
                <w:rFonts w:hint="eastAsia" w:ascii="方正仿宋_GBK" w:hAnsi="方正仿宋_GBK" w:eastAsia="方正仿宋_GBK" w:cs="方正仿宋_GBK"/>
                <w:i w:val="0"/>
                <w:iCs w:val="0"/>
                <w:color w:val="000000"/>
                <w:kern w:val="0"/>
                <w:sz w:val="22"/>
                <w:szCs w:val="22"/>
                <w:u w:val="none"/>
                <w:lang w:val="en-US" w:eastAsia="zh-CN" w:bidi="ar"/>
              </w:rPr>
              <w:t>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ADD6422">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0C9013F2">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3837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4</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D8301">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纪  勇</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CA03B">
            <w:pPr>
              <w:keepNext w:val="0"/>
              <w:keepLines w:val="0"/>
              <w:widowControl/>
              <w:suppressLineNumbers w:val="0"/>
              <w:spacing w:line="240" w:lineRule="auto"/>
              <w:ind w:left="0" w:leftChars="0" w:firstLine="0" w:firstLineChars="0"/>
              <w:jc w:val="left"/>
              <w:textAlignment w:val="center"/>
              <w:rPr>
                <w:rFonts w:hint="default"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南京擎天科技有限公司</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F5223B7">
            <w:pPr>
              <w:keepNext w:val="0"/>
              <w:keepLines w:val="0"/>
              <w:widowControl/>
              <w:suppressLineNumbers w:val="0"/>
              <w:spacing w:line="240" w:lineRule="auto"/>
              <w:ind w:left="0" w:leftChars="0" w:firstLine="0" w:firstLineChars="0"/>
              <w:jc w:val="center"/>
              <w:textAlignment w:val="center"/>
              <w:rPr>
                <w:rFonts w:hint="default"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业务总监/博士</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CF11B78">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26D5F93A">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C15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5</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3C2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马  歆</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BD5CA">
            <w:pPr>
              <w:keepNext w:val="0"/>
              <w:keepLines w:val="0"/>
              <w:widowControl/>
              <w:suppressLineNumbers w:val="0"/>
              <w:spacing w:line="240" w:lineRule="auto"/>
              <w:ind w:left="0" w:leftChars="0" w:firstLine="0" w:firstLineChars="0"/>
              <w:jc w:val="left"/>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65E8231">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副院长/研究员级高工</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9F0F86E">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0622CD6C">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90250">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6</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DCD02">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李向东</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FCDE">
            <w:pPr>
              <w:keepNext w:val="0"/>
              <w:keepLines w:val="0"/>
              <w:widowControl/>
              <w:suppressLineNumbers w:val="0"/>
              <w:spacing w:line="240" w:lineRule="auto"/>
              <w:ind w:left="0" w:leftChars="0" w:firstLine="0" w:firstLineChars="0"/>
              <w:jc w:val="left"/>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03986BBA">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研究员级高工</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55D386F">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72952F45">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0C5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7</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7166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诸滔</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C490C">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2"/>
                <w:sz w:val="24"/>
                <w:szCs w:val="24"/>
                <w:lang w:val="en-US" w:eastAsia="zh-CN" w:bidi="ar-SA"/>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9D8CF5E">
            <w:pPr>
              <w:keepNext w:val="0"/>
              <w:keepLines w:val="0"/>
              <w:widowControl/>
              <w:suppressLineNumbers w:val="0"/>
              <w:spacing w:line="240" w:lineRule="auto"/>
              <w:ind w:left="0" w:leftChars="0" w:firstLine="0" w:firstLineChars="0"/>
              <w:jc w:val="center"/>
              <w:textAlignment w:val="center"/>
              <w:rPr>
                <w:rFonts w:hint="default"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C59D74D">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431D8A69">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AC53">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8</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C64C1">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孟仲会</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A3E4D">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塞拉尼斯（南京）化工有限公司</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D494E02">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8EC0A3A">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38230A8A">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B177B">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9</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4BB5">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徐新宇</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3553F">
            <w:pPr>
              <w:keepNext w:val="0"/>
              <w:keepLines w:val="0"/>
              <w:widowControl/>
              <w:suppressLineNumbers w:val="0"/>
              <w:spacing w:line="240" w:lineRule="auto"/>
              <w:ind w:left="0" w:leftChars="0" w:firstLine="0" w:firstLineChars="0"/>
              <w:jc w:val="left"/>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方圆标志认证集团江苏有限公司</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0938624C">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副总经理/高级工程师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28E5A60">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1E3FBC96">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E78D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10</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689D6">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陈  胜</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AB8DE">
            <w:pPr>
              <w:keepNext w:val="0"/>
              <w:keepLines w:val="0"/>
              <w:widowControl/>
              <w:suppressLineNumbers w:val="0"/>
              <w:spacing w:line="240" w:lineRule="auto"/>
              <w:ind w:left="0" w:leftChars="0" w:firstLine="0" w:firstLineChars="0"/>
              <w:jc w:val="left"/>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25D244E5">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直属分院电梯室主任/高级工程师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5899BE4">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4459757C">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648E0">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11</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C5BC">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陈瑞峰</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B4C80">
            <w:pPr>
              <w:keepNext w:val="0"/>
              <w:keepLines w:val="0"/>
              <w:widowControl/>
              <w:suppressLineNumbers w:val="0"/>
              <w:spacing w:line="240" w:lineRule="auto"/>
              <w:ind w:left="0" w:leftChars="0" w:firstLine="0" w:firstLineChars="0"/>
              <w:jc w:val="left"/>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方圆标志认证集团江苏有限公司</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E1CFE17">
            <w:pPr>
              <w:keepNext w:val="0"/>
              <w:keepLines w:val="0"/>
              <w:widowControl/>
              <w:suppressLineNumbers w:val="0"/>
              <w:spacing w:line="240" w:lineRule="auto"/>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部长助理/工程师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88E29BC">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6EAB3CE1">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9EAA7">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12</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C4A31">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张亚军</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0151">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塞拉尼斯（南京）化工有限公司</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5910B70A">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97106E8">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6B90B3D4">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57AB3">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13</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ED963">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曾亚辉</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4958A">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2"/>
                <w:sz w:val="24"/>
                <w:szCs w:val="24"/>
                <w:lang w:val="en-US" w:eastAsia="zh-CN" w:bidi="ar-SA"/>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33F77B2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2"/>
                <w:sz w:val="24"/>
                <w:szCs w:val="24"/>
                <w:lang w:val="en-US" w:eastAsia="zh-CN" w:bidi="ar-SA"/>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E633837">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737DAD4A">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C241">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14</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97D95">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涂春磊</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03F0">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5C71">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正高级工程师</w:t>
            </w:r>
          </w:p>
        </w:tc>
        <w:tc>
          <w:tcPr>
            <w:tcW w:w="1106" w:type="pct"/>
            <w:vMerge w:val="restart"/>
            <w:tcBorders>
              <w:top w:val="single" w:color="auto" w:sz="4" w:space="0"/>
              <w:left w:val="single" w:color="000000" w:sz="4" w:space="0"/>
              <w:right w:val="single" w:color="000000" w:sz="4" w:space="0"/>
            </w:tcBorders>
            <w:shd w:val="clear" w:color="auto" w:fill="auto"/>
            <w:noWrap/>
            <w:vAlign w:val="center"/>
          </w:tcPr>
          <w:p w14:paraId="5ECC9448">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调研分析研究</w:t>
            </w:r>
          </w:p>
        </w:tc>
      </w:tr>
      <w:tr w14:paraId="7B456739">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95FB">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15</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CBFEA">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郭培杰</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5C401">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D875">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正高级工程师</w:t>
            </w:r>
          </w:p>
        </w:tc>
        <w:tc>
          <w:tcPr>
            <w:tcW w:w="1106" w:type="pct"/>
            <w:vMerge w:val="continue"/>
            <w:tcBorders>
              <w:left w:val="single" w:color="000000" w:sz="4" w:space="0"/>
              <w:right w:val="single" w:color="000000" w:sz="4" w:space="0"/>
            </w:tcBorders>
            <w:shd w:val="clear" w:color="auto" w:fill="auto"/>
            <w:noWrap/>
            <w:vAlign w:val="center"/>
          </w:tcPr>
          <w:p w14:paraId="1D5B5112">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0D5502E3">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EEB96">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16</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E8FC5">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陶  杰</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3265">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EF29">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left w:val="single" w:color="000000" w:sz="4" w:space="0"/>
              <w:right w:val="single" w:color="000000" w:sz="4" w:space="0"/>
            </w:tcBorders>
            <w:shd w:val="clear" w:color="auto" w:fill="auto"/>
            <w:noWrap/>
            <w:vAlign w:val="center"/>
          </w:tcPr>
          <w:p w14:paraId="18DBF4B5">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3876F408">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6C2FB">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17</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29CE0">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张  航</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8CD98">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7B70">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left w:val="single" w:color="000000" w:sz="4" w:space="0"/>
              <w:right w:val="single" w:color="000000" w:sz="4" w:space="0"/>
            </w:tcBorders>
            <w:shd w:val="clear" w:color="auto" w:fill="auto"/>
            <w:noWrap/>
            <w:vAlign w:val="center"/>
          </w:tcPr>
          <w:p w14:paraId="7309E396">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2819A72A">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79693">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18</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17859">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顾  程</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30890">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5FE25">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left w:val="single" w:color="000000" w:sz="4" w:space="0"/>
              <w:right w:val="single" w:color="000000" w:sz="4" w:space="0"/>
            </w:tcBorders>
            <w:shd w:val="clear" w:color="auto" w:fill="auto"/>
            <w:noWrap/>
            <w:vAlign w:val="center"/>
          </w:tcPr>
          <w:p w14:paraId="493AF1EA">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3E6CC770">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73E6">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19</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9B11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程  琳</w:t>
            </w:r>
          </w:p>
        </w:tc>
        <w:tc>
          <w:tcPr>
            <w:tcW w:w="1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FB0A2">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南京擎天科技有限公司</w:t>
            </w:r>
          </w:p>
        </w:tc>
        <w:tc>
          <w:tcPr>
            <w:tcW w:w="1331"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BAE407C">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安全部长/工程师</w:t>
            </w:r>
          </w:p>
        </w:tc>
        <w:tc>
          <w:tcPr>
            <w:tcW w:w="1106" w:type="pct"/>
            <w:vMerge w:val="continue"/>
            <w:tcBorders>
              <w:left w:val="single" w:color="000000" w:sz="4" w:space="0"/>
              <w:right w:val="single" w:color="000000" w:sz="4" w:space="0"/>
            </w:tcBorders>
            <w:shd w:val="clear" w:color="auto" w:fill="auto"/>
            <w:noWrap/>
            <w:vAlign w:val="center"/>
          </w:tcPr>
          <w:p w14:paraId="4B184521">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5833CF92">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F81DD">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20</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BA62">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谢芸香</w:t>
            </w:r>
          </w:p>
        </w:tc>
        <w:tc>
          <w:tcPr>
            <w:tcW w:w="1540" w:type="pct"/>
            <w:tcBorders>
              <w:top w:val="single" w:color="000000" w:sz="4" w:space="0"/>
              <w:left w:val="single" w:color="000000" w:sz="4" w:space="0"/>
              <w:bottom w:val="single" w:color="000000" w:sz="4" w:space="0"/>
              <w:right w:val="single" w:color="auto" w:sz="4" w:space="0"/>
            </w:tcBorders>
            <w:shd w:val="clear" w:color="auto" w:fill="auto"/>
            <w:vAlign w:val="center"/>
          </w:tcPr>
          <w:p w14:paraId="185062E0">
            <w:pPr>
              <w:keepNext w:val="0"/>
              <w:keepLines w:val="0"/>
              <w:widowControl/>
              <w:suppressLineNumbers w:val="0"/>
              <w:spacing w:line="240" w:lineRule="auto"/>
              <w:ind w:left="0" w:leftChars="0" w:firstLine="0" w:firstLineChars="0"/>
              <w:jc w:val="left"/>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01DF34">
            <w:pPr>
              <w:keepNext w:val="0"/>
              <w:keepLines w:val="0"/>
              <w:widowControl/>
              <w:suppressLineNumbers w:val="0"/>
              <w:spacing w:line="240" w:lineRule="auto"/>
              <w:ind w:left="0" w:leftChars="0" w:firstLine="0" w:firstLineChars="0"/>
              <w:jc w:val="center"/>
              <w:textAlignment w:val="center"/>
              <w:rPr>
                <w:rFonts w:ascii="仿宋" w:hAnsi="仿宋" w:eastAsia="仿宋" w:cs="仿宋"/>
                <w:color w:val="000000"/>
                <w:kern w:val="0"/>
                <w:sz w:val="24"/>
                <w:lang w:bidi="ar"/>
              </w:rPr>
            </w:pPr>
            <w:r>
              <w:rPr>
                <w:rFonts w:hint="eastAsia" w:ascii="方正仿宋_GBK" w:hAnsi="方正仿宋_GBK" w:eastAsia="方正仿宋_GBK" w:cs="方正仿宋_GBK"/>
                <w:i w:val="0"/>
                <w:iCs w:val="0"/>
                <w:color w:val="000000"/>
                <w:kern w:val="0"/>
                <w:sz w:val="22"/>
                <w:szCs w:val="22"/>
                <w:u w:val="none"/>
                <w:lang w:val="en-US" w:eastAsia="zh-CN" w:bidi="ar"/>
              </w:rPr>
              <w:t>助理工程师</w:t>
            </w:r>
          </w:p>
        </w:tc>
        <w:tc>
          <w:tcPr>
            <w:tcW w:w="1106" w:type="pct"/>
            <w:vMerge w:val="continue"/>
            <w:tcBorders>
              <w:left w:val="single" w:color="000000" w:sz="4" w:space="0"/>
              <w:right w:val="single" w:color="000000" w:sz="4" w:space="0"/>
            </w:tcBorders>
            <w:shd w:val="clear" w:color="auto" w:fill="auto"/>
            <w:noWrap/>
            <w:vAlign w:val="center"/>
          </w:tcPr>
          <w:p w14:paraId="36A37FFC">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07F1D590">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59626">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21</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C6E7">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帅  飞</w:t>
            </w:r>
          </w:p>
        </w:tc>
        <w:tc>
          <w:tcPr>
            <w:tcW w:w="1540" w:type="pct"/>
            <w:tcBorders>
              <w:top w:val="single" w:color="000000" w:sz="4" w:space="0"/>
              <w:left w:val="single" w:color="000000" w:sz="4" w:space="0"/>
              <w:bottom w:val="single" w:color="000000" w:sz="4" w:space="0"/>
              <w:right w:val="single" w:color="auto" w:sz="4" w:space="0"/>
            </w:tcBorders>
            <w:shd w:val="clear" w:color="auto" w:fill="auto"/>
            <w:vAlign w:val="center"/>
          </w:tcPr>
          <w:p w14:paraId="7F454A29">
            <w:pPr>
              <w:keepNext w:val="0"/>
              <w:keepLines w:val="0"/>
              <w:widowControl/>
              <w:suppressLineNumbers w:val="0"/>
              <w:spacing w:line="240" w:lineRule="auto"/>
              <w:ind w:left="0" w:leftChars="0" w:firstLine="0" w:firstLineChars="0"/>
              <w:jc w:val="left"/>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DD7767">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color w:val="000000"/>
                <w:kern w:val="0"/>
                <w:sz w:val="24"/>
                <w:szCs w:val="24"/>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高级工程师</w:t>
            </w:r>
          </w:p>
        </w:tc>
        <w:tc>
          <w:tcPr>
            <w:tcW w:w="1106" w:type="pct"/>
            <w:vMerge w:val="continue"/>
            <w:tcBorders>
              <w:left w:val="single" w:color="000000" w:sz="4" w:space="0"/>
              <w:right w:val="single" w:color="000000" w:sz="4" w:space="0"/>
            </w:tcBorders>
            <w:shd w:val="clear" w:color="auto" w:fill="auto"/>
            <w:noWrap/>
            <w:vAlign w:val="center"/>
          </w:tcPr>
          <w:p w14:paraId="6A011DF5">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3232A998">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38EDD">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22</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F528E">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金  凯</w:t>
            </w:r>
          </w:p>
        </w:tc>
        <w:tc>
          <w:tcPr>
            <w:tcW w:w="1540" w:type="pct"/>
            <w:tcBorders>
              <w:top w:val="single" w:color="000000" w:sz="4" w:space="0"/>
              <w:left w:val="single" w:color="000000" w:sz="4" w:space="0"/>
              <w:bottom w:val="single" w:color="000000" w:sz="4" w:space="0"/>
              <w:right w:val="single" w:color="auto" w:sz="4" w:space="0"/>
            </w:tcBorders>
            <w:shd w:val="clear" w:color="auto" w:fill="auto"/>
            <w:vAlign w:val="center"/>
          </w:tcPr>
          <w:p w14:paraId="77A2DC1F">
            <w:pPr>
              <w:keepNext w:val="0"/>
              <w:keepLines w:val="0"/>
              <w:widowControl/>
              <w:suppressLineNumbers w:val="0"/>
              <w:spacing w:line="240" w:lineRule="auto"/>
              <w:ind w:left="0" w:leftChars="0" w:firstLine="0" w:firstLineChars="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24B647">
            <w:pPr>
              <w:keepNext w:val="0"/>
              <w:keepLines w:val="0"/>
              <w:widowControl/>
              <w:suppressLineNumbers w:val="0"/>
              <w:spacing w:line="240" w:lineRule="auto"/>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工程师</w:t>
            </w:r>
          </w:p>
        </w:tc>
        <w:tc>
          <w:tcPr>
            <w:tcW w:w="1106" w:type="pct"/>
            <w:vMerge w:val="continue"/>
            <w:tcBorders>
              <w:left w:val="single" w:color="000000" w:sz="4" w:space="0"/>
              <w:right w:val="single" w:color="000000" w:sz="4" w:space="0"/>
            </w:tcBorders>
            <w:shd w:val="clear" w:color="auto" w:fill="auto"/>
            <w:noWrap/>
            <w:vAlign w:val="center"/>
          </w:tcPr>
          <w:p w14:paraId="3CBEFFB0">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2DE3DF0C">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F2695">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23</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5292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徐丞明</w:t>
            </w:r>
          </w:p>
        </w:tc>
        <w:tc>
          <w:tcPr>
            <w:tcW w:w="1540" w:type="pct"/>
            <w:tcBorders>
              <w:top w:val="single" w:color="000000" w:sz="4" w:space="0"/>
              <w:left w:val="single" w:color="000000" w:sz="4" w:space="0"/>
              <w:bottom w:val="single" w:color="000000" w:sz="4" w:space="0"/>
              <w:right w:val="single" w:color="auto" w:sz="4" w:space="0"/>
            </w:tcBorders>
            <w:shd w:val="clear" w:color="auto" w:fill="auto"/>
            <w:vAlign w:val="center"/>
          </w:tcPr>
          <w:p w14:paraId="340DB3AB">
            <w:pPr>
              <w:keepNext w:val="0"/>
              <w:keepLines w:val="0"/>
              <w:widowControl/>
              <w:suppressLineNumbers w:val="0"/>
              <w:spacing w:line="240" w:lineRule="auto"/>
              <w:ind w:left="0" w:leftChars="0" w:firstLine="0" w:firstLineChars="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FC812A">
            <w:pPr>
              <w:keepNext w:val="0"/>
              <w:keepLines w:val="0"/>
              <w:widowControl/>
              <w:suppressLineNumbers w:val="0"/>
              <w:spacing w:line="240" w:lineRule="auto"/>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工程师</w:t>
            </w:r>
          </w:p>
        </w:tc>
        <w:tc>
          <w:tcPr>
            <w:tcW w:w="1106" w:type="pct"/>
            <w:vMerge w:val="continue"/>
            <w:tcBorders>
              <w:left w:val="single" w:color="000000" w:sz="4" w:space="0"/>
              <w:right w:val="single" w:color="000000" w:sz="4" w:space="0"/>
            </w:tcBorders>
            <w:shd w:val="clear" w:color="auto" w:fill="auto"/>
            <w:noWrap/>
            <w:vAlign w:val="center"/>
          </w:tcPr>
          <w:p w14:paraId="0860019A">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r w14:paraId="39B04862">
        <w:tblPrEx>
          <w:tblCellMar>
            <w:top w:w="0" w:type="dxa"/>
            <w:left w:w="108" w:type="dxa"/>
            <w:bottom w:w="0" w:type="dxa"/>
            <w:right w:w="108" w:type="dxa"/>
          </w:tblCellMar>
        </w:tblPrEx>
        <w:trPr>
          <w:trHeight w:val="513" w:hRule="atLeast"/>
          <w:tblHeader/>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4F3A">
            <w:pPr>
              <w:keepNext w:val="0"/>
              <w:keepLines w:val="0"/>
              <w:widowControl/>
              <w:suppressLineNumbers w:val="0"/>
              <w:ind w:left="0" w:leftChars="0" w:firstLine="0" w:firstLineChars="0"/>
              <w:jc w:val="center"/>
              <w:textAlignment w:val="center"/>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24</w:t>
            </w:r>
          </w:p>
        </w:tc>
        <w:tc>
          <w:tcPr>
            <w:tcW w:w="6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A0D0E">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孙  冬</w:t>
            </w:r>
          </w:p>
        </w:tc>
        <w:tc>
          <w:tcPr>
            <w:tcW w:w="1540" w:type="pct"/>
            <w:tcBorders>
              <w:top w:val="single" w:color="000000" w:sz="4" w:space="0"/>
              <w:left w:val="single" w:color="000000" w:sz="4" w:space="0"/>
              <w:bottom w:val="single" w:color="000000" w:sz="4" w:space="0"/>
              <w:right w:val="single" w:color="auto" w:sz="4" w:space="0"/>
            </w:tcBorders>
            <w:shd w:val="clear" w:color="auto" w:fill="auto"/>
            <w:vAlign w:val="center"/>
          </w:tcPr>
          <w:p w14:paraId="3F17AFC3">
            <w:pPr>
              <w:keepNext w:val="0"/>
              <w:keepLines w:val="0"/>
              <w:widowControl/>
              <w:suppressLineNumbers w:val="0"/>
              <w:spacing w:line="240" w:lineRule="auto"/>
              <w:ind w:left="0" w:leftChars="0" w:firstLine="0" w:firstLineChars="0"/>
              <w:jc w:val="left"/>
              <w:textAlignment w:val="center"/>
              <w:rPr>
                <w:rFonts w:hint="eastAsia"/>
                <w:lang w:val="en-US" w:eastAsia="zh-CN"/>
              </w:rPr>
            </w:pPr>
            <w:r>
              <w:rPr>
                <w:rFonts w:hint="eastAsia" w:ascii="方正仿宋_GBK" w:hAnsi="方正仿宋_GBK" w:eastAsia="方正仿宋_GBK" w:cs="方正仿宋_GBK"/>
                <w:i w:val="0"/>
                <w:iCs w:val="0"/>
                <w:color w:val="000000"/>
                <w:kern w:val="0"/>
                <w:sz w:val="22"/>
                <w:szCs w:val="22"/>
                <w:u w:val="none"/>
                <w:lang w:val="en-US" w:eastAsia="zh-CN" w:bidi="ar"/>
              </w:rPr>
              <w:t>江苏省特种设备安全监督检验研究院</w:t>
            </w:r>
          </w:p>
        </w:tc>
        <w:tc>
          <w:tcPr>
            <w:tcW w:w="13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CBD9F5">
            <w:pPr>
              <w:keepNext w:val="0"/>
              <w:keepLines w:val="0"/>
              <w:widowControl/>
              <w:suppressLineNumbers w:val="0"/>
              <w:spacing w:line="240" w:lineRule="auto"/>
              <w:ind w:left="0" w:leftChars="0" w:firstLine="0" w:firstLineChars="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hAnsi="方正仿宋_GBK" w:eastAsia="方正仿宋_GBK" w:cs="方正仿宋_GBK"/>
                <w:i w:val="0"/>
                <w:iCs w:val="0"/>
                <w:color w:val="000000"/>
                <w:kern w:val="0"/>
                <w:sz w:val="22"/>
                <w:szCs w:val="22"/>
                <w:u w:val="none"/>
                <w:lang w:val="en-US" w:eastAsia="zh-CN" w:bidi="ar"/>
              </w:rPr>
              <w:t>工程师</w:t>
            </w:r>
          </w:p>
        </w:tc>
        <w:tc>
          <w:tcPr>
            <w:tcW w:w="1106" w:type="pct"/>
            <w:vMerge w:val="continue"/>
            <w:tcBorders>
              <w:left w:val="single" w:color="000000" w:sz="4" w:space="0"/>
              <w:bottom w:val="single" w:color="auto" w:sz="4" w:space="0"/>
              <w:right w:val="single" w:color="000000" w:sz="4" w:space="0"/>
            </w:tcBorders>
            <w:shd w:val="clear" w:color="auto" w:fill="auto"/>
            <w:noWrap/>
            <w:vAlign w:val="center"/>
          </w:tcPr>
          <w:p w14:paraId="0AAA44A1">
            <w:pPr>
              <w:keepNext w:val="0"/>
              <w:keepLines w:val="0"/>
              <w:widowControl/>
              <w:suppressLineNumbers w:val="0"/>
              <w:ind w:firstLine="440" w:firstLineChars="200"/>
              <w:jc w:val="center"/>
              <w:textAlignment w:val="center"/>
              <w:rPr>
                <w:rFonts w:hint="eastAsia" w:ascii="方正仿宋_GBK" w:hAnsi="方正仿宋_GBK" w:eastAsia="方正仿宋_GBK" w:cs="方正仿宋_GBK"/>
                <w:i w:val="0"/>
                <w:iCs w:val="0"/>
                <w:color w:val="000000"/>
                <w:kern w:val="0"/>
                <w:sz w:val="22"/>
                <w:szCs w:val="22"/>
                <w:u w:val="none"/>
                <w:lang w:val="en-US" w:eastAsia="zh-CN" w:bidi="ar"/>
              </w:rPr>
            </w:pPr>
          </w:p>
        </w:tc>
      </w:tr>
    </w:tbl>
    <w:p w14:paraId="29702599">
      <w:pPr>
        <w:bidi w:val="0"/>
      </w:pPr>
    </w:p>
    <w:sectPr>
      <w:footerReference r:id="rId5" w:type="default"/>
      <w:pgSz w:w="11906" w:h="16838"/>
      <w:pgMar w:top="1417" w:right="1417" w:bottom="1417" w:left="1417" w:header="851" w:footer="992" w:gutter="0"/>
      <w:cols w:space="0" w:num="1"/>
      <w:rtlGutter w:val="0"/>
      <w:docGrid w:type="lines" w:linePitch="41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02BB5F-37C0-4B46-8EA0-8285B309E0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11F9248E-8D1E-4467-83A8-59E5BAE61B33}"/>
  </w:font>
  <w:font w:name="方正仿宋_GBK">
    <w:panose1 w:val="03000509000000000000"/>
    <w:charset w:val="86"/>
    <w:family w:val="script"/>
    <w:pitch w:val="default"/>
    <w:sig w:usb0="00000001" w:usb1="080E0000" w:usb2="00000000" w:usb3="00000000" w:csb0="00040000" w:csb1="00000000"/>
    <w:embedRegular r:id="rId3" w:fontKey="{7BD1EBAA-D763-45EC-8A3E-44BD9B75E589}"/>
  </w:font>
  <w:font w:name="方正小标宋简体">
    <w:panose1 w:val="03000509000000000000"/>
    <w:charset w:val="86"/>
    <w:family w:val="auto"/>
    <w:pitch w:val="default"/>
    <w:sig w:usb0="00000001" w:usb1="080E0000" w:usb2="00000000" w:usb3="00000000" w:csb0="00040000" w:csb1="00000000"/>
    <w:embedRegular r:id="rId4" w:fontKey="{F905147F-F673-4985-9C71-11571909F8D1}"/>
  </w:font>
  <w:font w:name="楷体">
    <w:panose1 w:val="02010609060101010101"/>
    <w:charset w:val="86"/>
    <w:family w:val="auto"/>
    <w:pitch w:val="default"/>
    <w:sig w:usb0="800002BF" w:usb1="38CF7CFA" w:usb2="00000016" w:usb3="00000000" w:csb0="00040001" w:csb1="00000000"/>
    <w:embedRegular r:id="rId5" w:fontKey="{85533980-59FA-4CC1-A0B4-4262292185FA}"/>
  </w:font>
  <w:font w:name="仿宋_GB2312">
    <w:panose1 w:val="02010609030101010101"/>
    <w:charset w:val="86"/>
    <w:family w:val="auto"/>
    <w:pitch w:val="default"/>
    <w:sig w:usb0="00000001" w:usb1="080E0000" w:usb2="00000000" w:usb3="00000000" w:csb0="00040000" w:csb1="00000000"/>
    <w:embedRegular r:id="rId6" w:fontKey="{61F05493-DB46-42B2-A7CA-0E2822F824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4828860"/>
      <w:docPartObj>
        <w:docPartGallery w:val="autotext"/>
      </w:docPartObj>
    </w:sdtPr>
    <w:sdtContent>
      <w:p w14:paraId="30804965">
        <w:pPr>
          <w:pStyle w:val="7"/>
          <w:jc w:val="center"/>
        </w:pPr>
        <w:r>
          <w:fldChar w:fldCharType="begin"/>
        </w:r>
        <w:r>
          <w:instrText xml:space="preserve">PAGE   \* MERGEFORMAT</w:instrText>
        </w:r>
        <w:r>
          <w:fldChar w:fldCharType="separate"/>
        </w:r>
        <w:r>
          <w:rPr>
            <w:lang w:val="zh-CN"/>
          </w:rPr>
          <w:t>7</w:t>
        </w:r>
        <w:r>
          <w:fldChar w:fldCharType="end"/>
        </w:r>
      </w:p>
    </w:sdtContent>
  </w:sdt>
  <w:p w14:paraId="604BF708">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68FFC"/>
    <w:multiLevelType w:val="singleLevel"/>
    <w:tmpl w:val="7DE68FF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20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5MjA5ZmQ5NmVkNWY5YmQyMDE2ZDgzMGQ4MzljMjcifQ=="/>
  </w:docVars>
  <w:rsids>
    <w:rsidRoot w:val="00CF11C6"/>
    <w:rsid w:val="00006AEA"/>
    <w:rsid w:val="00007F43"/>
    <w:rsid w:val="000130EA"/>
    <w:rsid w:val="00021B0E"/>
    <w:rsid w:val="00051128"/>
    <w:rsid w:val="00064D4B"/>
    <w:rsid w:val="000803BD"/>
    <w:rsid w:val="000846CE"/>
    <w:rsid w:val="00086FEA"/>
    <w:rsid w:val="00090C9D"/>
    <w:rsid w:val="000911ED"/>
    <w:rsid w:val="000B5443"/>
    <w:rsid w:val="000D2E93"/>
    <w:rsid w:val="000E2A3E"/>
    <w:rsid w:val="00103E30"/>
    <w:rsid w:val="00105D3F"/>
    <w:rsid w:val="0011736B"/>
    <w:rsid w:val="0013282F"/>
    <w:rsid w:val="00132BD9"/>
    <w:rsid w:val="0013415E"/>
    <w:rsid w:val="0019715E"/>
    <w:rsid w:val="001A56E4"/>
    <w:rsid w:val="001E3E0C"/>
    <w:rsid w:val="001E5B81"/>
    <w:rsid w:val="001E7B0F"/>
    <w:rsid w:val="002002F8"/>
    <w:rsid w:val="002139F9"/>
    <w:rsid w:val="0022171F"/>
    <w:rsid w:val="00241C24"/>
    <w:rsid w:val="00242C3E"/>
    <w:rsid w:val="002513B4"/>
    <w:rsid w:val="002518F8"/>
    <w:rsid w:val="002736E8"/>
    <w:rsid w:val="002748AF"/>
    <w:rsid w:val="00275B84"/>
    <w:rsid w:val="00283143"/>
    <w:rsid w:val="002A2885"/>
    <w:rsid w:val="002A5379"/>
    <w:rsid w:val="002B42BD"/>
    <w:rsid w:val="002C5A5B"/>
    <w:rsid w:val="002E1606"/>
    <w:rsid w:val="00302849"/>
    <w:rsid w:val="00314413"/>
    <w:rsid w:val="00355F02"/>
    <w:rsid w:val="00376FBB"/>
    <w:rsid w:val="003864BA"/>
    <w:rsid w:val="003C3242"/>
    <w:rsid w:val="003D1696"/>
    <w:rsid w:val="003F1C96"/>
    <w:rsid w:val="003F2555"/>
    <w:rsid w:val="003F3EE8"/>
    <w:rsid w:val="003F4979"/>
    <w:rsid w:val="004071E7"/>
    <w:rsid w:val="004139C0"/>
    <w:rsid w:val="004219F9"/>
    <w:rsid w:val="00435E98"/>
    <w:rsid w:val="004465E6"/>
    <w:rsid w:val="004466B7"/>
    <w:rsid w:val="00485822"/>
    <w:rsid w:val="00485A3B"/>
    <w:rsid w:val="004925A2"/>
    <w:rsid w:val="00492D84"/>
    <w:rsid w:val="00496AFC"/>
    <w:rsid w:val="004C71FC"/>
    <w:rsid w:val="004C7AFD"/>
    <w:rsid w:val="004D44C2"/>
    <w:rsid w:val="004E1D90"/>
    <w:rsid w:val="00503217"/>
    <w:rsid w:val="00547C26"/>
    <w:rsid w:val="00575DA0"/>
    <w:rsid w:val="005A0929"/>
    <w:rsid w:val="005A28C3"/>
    <w:rsid w:val="005E56CD"/>
    <w:rsid w:val="005F4747"/>
    <w:rsid w:val="00630EFC"/>
    <w:rsid w:val="00663D8A"/>
    <w:rsid w:val="00664C1F"/>
    <w:rsid w:val="006B19D7"/>
    <w:rsid w:val="006B2BD5"/>
    <w:rsid w:val="006D2687"/>
    <w:rsid w:val="006E285E"/>
    <w:rsid w:val="007037C3"/>
    <w:rsid w:val="00713D5E"/>
    <w:rsid w:val="00715135"/>
    <w:rsid w:val="00740CEC"/>
    <w:rsid w:val="007411D9"/>
    <w:rsid w:val="00741CDD"/>
    <w:rsid w:val="007440FF"/>
    <w:rsid w:val="00751758"/>
    <w:rsid w:val="00761906"/>
    <w:rsid w:val="00792342"/>
    <w:rsid w:val="007B02D6"/>
    <w:rsid w:val="00803F30"/>
    <w:rsid w:val="00805B0B"/>
    <w:rsid w:val="008239DE"/>
    <w:rsid w:val="00827CD6"/>
    <w:rsid w:val="008331F0"/>
    <w:rsid w:val="008462B5"/>
    <w:rsid w:val="008754A4"/>
    <w:rsid w:val="008A1598"/>
    <w:rsid w:val="008B05F2"/>
    <w:rsid w:val="0091350E"/>
    <w:rsid w:val="0095220D"/>
    <w:rsid w:val="00964C70"/>
    <w:rsid w:val="00970CBB"/>
    <w:rsid w:val="00975CF5"/>
    <w:rsid w:val="00976F71"/>
    <w:rsid w:val="00983B9C"/>
    <w:rsid w:val="009E20A7"/>
    <w:rsid w:val="009E7840"/>
    <w:rsid w:val="009F67FB"/>
    <w:rsid w:val="00A234CE"/>
    <w:rsid w:val="00A44B78"/>
    <w:rsid w:val="00A7006E"/>
    <w:rsid w:val="00A84C8A"/>
    <w:rsid w:val="00A8601B"/>
    <w:rsid w:val="00A8688D"/>
    <w:rsid w:val="00A90C66"/>
    <w:rsid w:val="00A91CBA"/>
    <w:rsid w:val="00B015AD"/>
    <w:rsid w:val="00B65D9B"/>
    <w:rsid w:val="00B66239"/>
    <w:rsid w:val="00B7019E"/>
    <w:rsid w:val="00B725B8"/>
    <w:rsid w:val="00B75DF1"/>
    <w:rsid w:val="00B969F2"/>
    <w:rsid w:val="00BB724A"/>
    <w:rsid w:val="00BC1C6D"/>
    <w:rsid w:val="00BC23AF"/>
    <w:rsid w:val="00BC56AA"/>
    <w:rsid w:val="00C00AD8"/>
    <w:rsid w:val="00C0100C"/>
    <w:rsid w:val="00C54392"/>
    <w:rsid w:val="00C576E4"/>
    <w:rsid w:val="00C70141"/>
    <w:rsid w:val="00C93E47"/>
    <w:rsid w:val="00C9726A"/>
    <w:rsid w:val="00CC2EF3"/>
    <w:rsid w:val="00CE1B22"/>
    <w:rsid w:val="00CE605D"/>
    <w:rsid w:val="00CF11C6"/>
    <w:rsid w:val="00D32F0A"/>
    <w:rsid w:val="00D604B4"/>
    <w:rsid w:val="00D67753"/>
    <w:rsid w:val="00D91C23"/>
    <w:rsid w:val="00D96F53"/>
    <w:rsid w:val="00DA3C52"/>
    <w:rsid w:val="00DC1703"/>
    <w:rsid w:val="00DC5611"/>
    <w:rsid w:val="00DE2539"/>
    <w:rsid w:val="00DF6A4E"/>
    <w:rsid w:val="00E073E1"/>
    <w:rsid w:val="00E148D8"/>
    <w:rsid w:val="00E30202"/>
    <w:rsid w:val="00E85A93"/>
    <w:rsid w:val="00E975B1"/>
    <w:rsid w:val="00EA7602"/>
    <w:rsid w:val="00EB29A9"/>
    <w:rsid w:val="00EC4E8E"/>
    <w:rsid w:val="00EE74B8"/>
    <w:rsid w:val="00EE75D3"/>
    <w:rsid w:val="00F25BBF"/>
    <w:rsid w:val="00F50529"/>
    <w:rsid w:val="00F52738"/>
    <w:rsid w:val="00F6095B"/>
    <w:rsid w:val="00FC1A50"/>
    <w:rsid w:val="00FE7663"/>
    <w:rsid w:val="00FE7C15"/>
    <w:rsid w:val="00FF1616"/>
    <w:rsid w:val="01136D92"/>
    <w:rsid w:val="01C94FD6"/>
    <w:rsid w:val="08206888"/>
    <w:rsid w:val="09EF1117"/>
    <w:rsid w:val="1A18449E"/>
    <w:rsid w:val="1DD07F1E"/>
    <w:rsid w:val="20C73DEA"/>
    <w:rsid w:val="29F4774C"/>
    <w:rsid w:val="38A26A7B"/>
    <w:rsid w:val="3CEF401A"/>
    <w:rsid w:val="3D9459C2"/>
    <w:rsid w:val="3FC003EF"/>
    <w:rsid w:val="47759846"/>
    <w:rsid w:val="4B27582B"/>
    <w:rsid w:val="4D597539"/>
    <w:rsid w:val="4E1D5AE5"/>
    <w:rsid w:val="4FFFD34C"/>
    <w:rsid w:val="52FFB696"/>
    <w:rsid w:val="55D04FA7"/>
    <w:rsid w:val="57AFBC54"/>
    <w:rsid w:val="5DEB00FD"/>
    <w:rsid w:val="5DF3A873"/>
    <w:rsid w:val="5FAA384F"/>
    <w:rsid w:val="606602AA"/>
    <w:rsid w:val="64897A59"/>
    <w:rsid w:val="695C3AB5"/>
    <w:rsid w:val="6E77D2F3"/>
    <w:rsid w:val="6EB67E2D"/>
    <w:rsid w:val="70BD42F3"/>
    <w:rsid w:val="714C0D3B"/>
    <w:rsid w:val="755F1D57"/>
    <w:rsid w:val="761FCED6"/>
    <w:rsid w:val="76F7619F"/>
    <w:rsid w:val="774D6720"/>
    <w:rsid w:val="776A2A0F"/>
    <w:rsid w:val="777F1506"/>
    <w:rsid w:val="7B7017F0"/>
    <w:rsid w:val="7B7F2247"/>
    <w:rsid w:val="7DD68602"/>
    <w:rsid w:val="7DE55C01"/>
    <w:rsid w:val="7E3F3EF8"/>
    <w:rsid w:val="7FB55B39"/>
    <w:rsid w:val="7FFF964E"/>
    <w:rsid w:val="AB7FD9F2"/>
    <w:rsid w:val="AD9585DA"/>
    <w:rsid w:val="B7B79BFF"/>
    <w:rsid w:val="BE9E50C5"/>
    <w:rsid w:val="BF8E14F8"/>
    <w:rsid w:val="D7FFE2A1"/>
    <w:rsid w:val="D8FDD988"/>
    <w:rsid w:val="DFA6398B"/>
    <w:rsid w:val="E3EFD5DE"/>
    <w:rsid w:val="E7724FA1"/>
    <w:rsid w:val="EFFFD590"/>
    <w:rsid w:val="F7FC22A6"/>
    <w:rsid w:val="FBB65945"/>
    <w:rsid w:val="FBFF8328"/>
    <w:rsid w:val="FD6A2D94"/>
    <w:rsid w:val="FE7F326E"/>
    <w:rsid w:val="FEB71C77"/>
    <w:rsid w:val="FFFF03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Times New Roman" w:hAnsi="Times New Roman" w:eastAsia="仿宋" w:cs="Times New Roman"/>
      <w:kern w:val="2"/>
      <w:sz w:val="30"/>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before="152" w:after="160"/>
    </w:pPr>
    <w:rPr>
      <w:rFonts w:ascii="Arial" w:hAnsi="Arial" w:eastAsia="黑体" w:cs="Arial"/>
      <w:sz w:val="20"/>
      <w:szCs w:val="20"/>
    </w:rPr>
  </w:style>
  <w:style w:type="paragraph" w:styleId="4">
    <w:name w:val="annotation text"/>
    <w:basedOn w:val="1"/>
    <w:link w:val="18"/>
    <w:semiHidden/>
    <w:unhideWhenUsed/>
    <w:qFormat/>
    <w:uiPriority w:val="99"/>
    <w:pPr>
      <w:jc w:val="left"/>
    </w:pPr>
  </w:style>
  <w:style w:type="paragraph" w:styleId="5">
    <w:name w:val="Body Text"/>
    <w:basedOn w:val="1"/>
    <w:link w:val="17"/>
    <w:qFormat/>
    <w:uiPriority w:val="1"/>
    <w:pPr>
      <w:autoSpaceDE w:val="0"/>
      <w:autoSpaceDN w:val="0"/>
      <w:jc w:val="left"/>
    </w:pPr>
    <w:rPr>
      <w:rFonts w:ascii="宋体" w:hAnsi="宋体" w:eastAsia="宋体" w:cs="宋体"/>
      <w:kern w:val="0"/>
      <w:sz w:val="21"/>
      <w:szCs w:val="21"/>
      <w:lang w:eastAsia="en-US" w:bidi="en-US"/>
    </w:rPr>
  </w:style>
  <w:style w:type="paragraph" w:styleId="6">
    <w:name w:val="Balloon Text"/>
    <w:basedOn w:val="1"/>
    <w:link w:val="21"/>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0">
    <w:name w:val="annotation subject"/>
    <w:basedOn w:val="4"/>
    <w:next w:val="4"/>
    <w:link w:val="19"/>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正文文本 字符"/>
    <w:basedOn w:val="12"/>
    <w:link w:val="5"/>
    <w:qFormat/>
    <w:uiPriority w:val="1"/>
    <w:rPr>
      <w:rFonts w:ascii="宋体" w:hAnsi="宋体" w:eastAsia="宋体" w:cs="宋体"/>
      <w:kern w:val="0"/>
      <w:szCs w:val="21"/>
      <w:lang w:eastAsia="en-US" w:bidi="en-US"/>
    </w:rPr>
  </w:style>
  <w:style w:type="character" w:customStyle="1" w:styleId="18">
    <w:name w:val="批注文字 字符"/>
    <w:basedOn w:val="12"/>
    <w:link w:val="4"/>
    <w:semiHidden/>
    <w:qFormat/>
    <w:uiPriority w:val="99"/>
    <w:rPr>
      <w:rFonts w:ascii="Times New Roman" w:hAnsi="Times New Roman" w:eastAsia="方正仿宋_GBK" w:cs="Times New Roman"/>
      <w:sz w:val="32"/>
      <w:szCs w:val="24"/>
    </w:rPr>
  </w:style>
  <w:style w:type="character" w:customStyle="1" w:styleId="19">
    <w:name w:val="批注主题 字符"/>
    <w:basedOn w:val="18"/>
    <w:link w:val="10"/>
    <w:autoRedefine/>
    <w:semiHidden/>
    <w:qFormat/>
    <w:uiPriority w:val="99"/>
    <w:rPr>
      <w:rFonts w:ascii="Times New Roman" w:hAnsi="Times New Roman" w:eastAsia="方正仿宋_GBK" w:cs="Times New Roman"/>
      <w:b/>
      <w:bCs/>
      <w:sz w:val="32"/>
      <w:szCs w:val="24"/>
    </w:rPr>
  </w:style>
  <w:style w:type="paragraph" w:customStyle="1" w:styleId="20">
    <w:name w:val="修订1"/>
    <w:autoRedefine/>
    <w:hidden/>
    <w:semiHidden/>
    <w:qFormat/>
    <w:uiPriority w:val="99"/>
    <w:rPr>
      <w:rFonts w:ascii="Times New Roman" w:hAnsi="Times New Roman" w:eastAsia="方正仿宋_GBK" w:cs="Times New Roman"/>
      <w:kern w:val="2"/>
      <w:sz w:val="32"/>
      <w:szCs w:val="24"/>
      <w:lang w:val="en-US" w:eastAsia="zh-CN" w:bidi="ar-SA"/>
    </w:rPr>
  </w:style>
  <w:style w:type="character" w:customStyle="1" w:styleId="21">
    <w:name w:val="批注框文本 字符"/>
    <w:basedOn w:val="12"/>
    <w:link w:val="6"/>
    <w:semiHidden/>
    <w:qFormat/>
    <w:uiPriority w:val="99"/>
    <w:rPr>
      <w:rFonts w:ascii="Times New Roman" w:hAnsi="Times New Roman" w:eastAsia="方正仿宋_GBK" w:cs="Times New Roman"/>
      <w:sz w:val="18"/>
      <w:szCs w:val="18"/>
    </w:rPr>
  </w:style>
  <w:style w:type="paragraph" w:customStyle="1" w:styleId="22">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4512</Words>
  <Characters>4787</Characters>
  <Lines>32</Lines>
  <Paragraphs>9</Paragraphs>
  <TotalTime>0</TotalTime>
  <ScaleCrop>false</ScaleCrop>
  <LinksUpToDate>false</LinksUpToDate>
  <CharactersWithSpaces>4858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2023-04-04T02:37:00Z</dcterms:created>
  <dc:creator>LI</dc:creator>
  <cp:lastModifiedBy>季一锦</cp:lastModifiedBy>
  <cp:lastPrinted>2023-07-06T09:50:00Z</cp:lastPrinted>
  <dcterms:modified xsi:type="dcterms:W3CDTF">2024-08-05T03:48:50Z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455962287_cloud</vt:lpwstr>
  </property>
  <property fmtid="{D5CDD505-2E9C-101B-9397-08002B2CF9AE}" pid="3" name="KSOProductBuildVer">
    <vt:lpwstr>2052-12.1.0.17147</vt:lpwstr>
  </property>
  <property fmtid="{D5CDD505-2E9C-101B-9397-08002B2CF9AE}" pid="4" name="ICV">
    <vt:lpwstr>85B7384288C440C2A1DC1DB8AAAC3F4F</vt:lpwstr>
  </property>
</Properties>
</file>